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CC5" w:rsidRPr="00122CC5" w:rsidRDefault="00122CC5" w:rsidP="00714374">
      <w:pPr>
        <w:spacing w:before="240"/>
        <w:contextualSpacing/>
        <w:jc w:val="center"/>
        <w:rPr>
          <w:rFonts w:ascii="Times New Roman" w:hAnsi="Times New Roman" w:cs="Times New Roman"/>
        </w:rPr>
      </w:pPr>
      <w:bookmarkStart w:id="0" w:name="_GoBack"/>
      <w:bookmarkEnd w:id="0"/>
      <w:r w:rsidRPr="00122CC5">
        <w:rPr>
          <w:rFonts w:ascii="Times New Roman" w:hAnsi="Times New Roman" w:cs="Times New Roman"/>
        </w:rPr>
        <w:t xml:space="preserve">May </w:t>
      </w:r>
      <w:r w:rsidR="00714374">
        <w:rPr>
          <w:rFonts w:ascii="Times New Roman" w:hAnsi="Times New Roman" w:cs="Times New Roman"/>
        </w:rPr>
        <w:t>5</w:t>
      </w:r>
      <w:r w:rsidRPr="00122CC5">
        <w:rPr>
          <w:rFonts w:ascii="Times New Roman" w:hAnsi="Times New Roman" w:cs="Times New Roman"/>
        </w:rPr>
        <w:t>, 2017</w:t>
      </w:r>
    </w:p>
    <w:p w:rsidR="00122CC5" w:rsidRPr="00122CC5" w:rsidRDefault="00122CC5" w:rsidP="00714374">
      <w:pPr>
        <w:contextualSpacing/>
        <w:jc w:val="both"/>
        <w:rPr>
          <w:rFonts w:ascii="Times New Roman" w:hAnsi="Times New Roman" w:cs="Times New Roman"/>
          <w:color w:val="000000" w:themeColor="text1"/>
        </w:rPr>
      </w:pPr>
    </w:p>
    <w:p w:rsidR="00122CC5" w:rsidRPr="00122CC5" w:rsidRDefault="00122CC5" w:rsidP="00714374">
      <w:pPr>
        <w:contextualSpacing/>
        <w:jc w:val="both"/>
        <w:rPr>
          <w:rFonts w:ascii="Times New Roman" w:hAnsi="Times New Roman" w:cs="Times New Roman"/>
          <w:color w:val="000000" w:themeColor="text1"/>
        </w:rPr>
      </w:pPr>
    </w:p>
    <w:p w:rsidR="00122CC5" w:rsidRPr="00122CC5" w:rsidRDefault="00122CC5" w:rsidP="00714374">
      <w:pPr>
        <w:contextualSpacing/>
        <w:jc w:val="both"/>
        <w:rPr>
          <w:rFonts w:ascii="Times New Roman" w:hAnsi="Times New Roman" w:cs="Times New Roman"/>
          <w:color w:val="000000" w:themeColor="text1"/>
        </w:rPr>
      </w:pPr>
    </w:p>
    <w:p w:rsidR="00714374" w:rsidRPr="00714374" w:rsidRDefault="00714374" w:rsidP="00714374">
      <w:pPr>
        <w:tabs>
          <w:tab w:val="left" w:pos="1530"/>
          <w:tab w:val="left" w:pos="1890"/>
          <w:tab w:val="left" w:pos="2340"/>
        </w:tabs>
        <w:spacing w:after="0" w:line="240" w:lineRule="auto"/>
        <w:jc w:val="both"/>
        <w:rPr>
          <w:rFonts w:ascii="Times New Roman" w:hAnsi="Times New Roman" w:cs="Times New Roman"/>
          <w:sz w:val="24"/>
          <w:szCs w:val="24"/>
        </w:rPr>
      </w:pPr>
      <w:r w:rsidRPr="00714374">
        <w:rPr>
          <w:rFonts w:ascii="Times New Roman" w:hAnsi="Times New Roman" w:cs="Times New Roman"/>
          <w:color w:val="000000" w:themeColor="text1"/>
          <w:sz w:val="24"/>
          <w:szCs w:val="24"/>
        </w:rPr>
        <w:t>Dear:</w:t>
      </w:r>
      <w:r w:rsidRPr="00714374">
        <w:rPr>
          <w:rFonts w:ascii="Times New Roman" w:hAnsi="Times New Roman" w:cs="Times New Roman"/>
          <w:color w:val="FF0000"/>
          <w:sz w:val="24"/>
          <w:szCs w:val="24"/>
        </w:rPr>
        <w:t xml:space="preserve"> </w:t>
      </w:r>
      <w:r w:rsidR="00B53FDC" w:rsidRPr="00B53FDC">
        <w:rPr>
          <w:rFonts w:ascii="Times New Roman" w:hAnsi="Times New Roman" w:cs="Times New Roman"/>
          <w:sz w:val="24"/>
          <w:szCs w:val="24"/>
        </w:rPr>
        <w:t xml:space="preserve">Paula </w:t>
      </w:r>
      <w:proofErr w:type="spellStart"/>
      <w:r w:rsidR="00B53FDC" w:rsidRPr="00B53FDC">
        <w:rPr>
          <w:rFonts w:ascii="Times New Roman" w:hAnsi="Times New Roman" w:cs="Times New Roman"/>
          <w:sz w:val="24"/>
          <w:szCs w:val="24"/>
        </w:rPr>
        <w:t>Gruendling</w:t>
      </w:r>
      <w:proofErr w:type="spellEnd"/>
      <w:r w:rsidRPr="00714374">
        <w:rPr>
          <w:rFonts w:ascii="Times New Roman" w:hAnsi="Times New Roman" w:cs="Times New Roman"/>
          <w:sz w:val="24"/>
          <w:szCs w:val="24"/>
        </w:rPr>
        <w:t>, CPUC</w:t>
      </w:r>
    </w:p>
    <w:p w:rsidR="00714374" w:rsidRPr="00714374" w:rsidRDefault="00714374" w:rsidP="00714374">
      <w:pPr>
        <w:tabs>
          <w:tab w:val="left" w:pos="1530"/>
          <w:tab w:val="left" w:pos="1890"/>
          <w:tab w:val="left" w:pos="2340"/>
        </w:tabs>
        <w:spacing w:after="0" w:line="240" w:lineRule="auto"/>
        <w:ind w:left="540"/>
        <w:jc w:val="both"/>
        <w:rPr>
          <w:rFonts w:ascii="Times New Roman" w:hAnsi="Times New Roman" w:cs="Times New Roman"/>
          <w:sz w:val="24"/>
          <w:szCs w:val="24"/>
        </w:rPr>
      </w:pPr>
      <w:r w:rsidRPr="00714374">
        <w:rPr>
          <w:rFonts w:ascii="Times New Roman" w:hAnsi="Times New Roman" w:cs="Times New Roman"/>
          <w:sz w:val="24"/>
          <w:szCs w:val="24"/>
        </w:rPr>
        <w:t xml:space="preserve">Amul </w:t>
      </w:r>
      <w:proofErr w:type="spellStart"/>
      <w:r w:rsidRPr="00714374">
        <w:rPr>
          <w:rFonts w:ascii="Times New Roman" w:hAnsi="Times New Roman" w:cs="Times New Roman"/>
          <w:sz w:val="24"/>
          <w:szCs w:val="24"/>
        </w:rPr>
        <w:t>Sathe</w:t>
      </w:r>
      <w:proofErr w:type="spellEnd"/>
      <w:r w:rsidRPr="00714374">
        <w:rPr>
          <w:rFonts w:ascii="Times New Roman" w:hAnsi="Times New Roman" w:cs="Times New Roman"/>
          <w:sz w:val="24"/>
          <w:szCs w:val="24"/>
        </w:rPr>
        <w:t xml:space="preserve">, Navigant Consulting, </w:t>
      </w:r>
      <w:proofErr w:type="spellStart"/>
      <w:r w:rsidRPr="00714374">
        <w:rPr>
          <w:rFonts w:ascii="Times New Roman" w:hAnsi="Times New Roman" w:cs="Times New Roman"/>
          <w:sz w:val="24"/>
          <w:szCs w:val="24"/>
        </w:rPr>
        <w:t>Inc</w:t>
      </w:r>
      <w:proofErr w:type="spellEnd"/>
    </w:p>
    <w:p w:rsidR="00714374" w:rsidRDefault="00714374" w:rsidP="00714374">
      <w:pPr>
        <w:tabs>
          <w:tab w:val="left" w:pos="1530"/>
          <w:tab w:val="left" w:pos="1890"/>
          <w:tab w:val="left" w:pos="2340"/>
        </w:tabs>
        <w:spacing w:after="0" w:line="240" w:lineRule="auto"/>
        <w:ind w:left="540"/>
        <w:jc w:val="both"/>
        <w:rPr>
          <w:rFonts w:ascii="Times New Roman" w:hAnsi="Times New Roman" w:cs="Times New Roman"/>
          <w:sz w:val="24"/>
          <w:szCs w:val="24"/>
        </w:rPr>
      </w:pPr>
      <w:r w:rsidRPr="00714374">
        <w:rPr>
          <w:rFonts w:ascii="Times New Roman" w:hAnsi="Times New Roman" w:cs="Times New Roman"/>
          <w:sz w:val="24"/>
          <w:szCs w:val="24"/>
        </w:rPr>
        <w:t>Chris Ann Dickerson, CAD Consulting</w:t>
      </w:r>
    </w:p>
    <w:p w:rsidR="00714374" w:rsidRPr="00714374" w:rsidRDefault="00714374" w:rsidP="00714374">
      <w:pPr>
        <w:tabs>
          <w:tab w:val="left" w:pos="1530"/>
          <w:tab w:val="left" w:pos="1890"/>
          <w:tab w:val="left" w:pos="2340"/>
        </w:tabs>
        <w:spacing w:after="0" w:line="240" w:lineRule="auto"/>
        <w:ind w:left="540"/>
        <w:jc w:val="both"/>
        <w:rPr>
          <w:rFonts w:ascii="Times New Roman" w:hAnsi="Times New Roman" w:cs="Times New Roman"/>
          <w:sz w:val="24"/>
          <w:szCs w:val="24"/>
        </w:rPr>
      </w:pPr>
    </w:p>
    <w:p w:rsidR="00714374" w:rsidRDefault="00714374" w:rsidP="00714374">
      <w:pPr>
        <w:tabs>
          <w:tab w:val="left" w:pos="810"/>
        </w:tabs>
        <w:spacing w:before="240"/>
        <w:ind w:left="810" w:right="1260" w:hanging="810"/>
        <w:contextualSpacing/>
        <w:jc w:val="both"/>
        <w:rPr>
          <w:rFonts w:ascii="Times New Roman" w:hAnsi="Times New Roman" w:cs="Times New Roman"/>
          <w:sz w:val="24"/>
          <w:szCs w:val="24"/>
        </w:rPr>
      </w:pPr>
      <w:r w:rsidRPr="00714374">
        <w:rPr>
          <w:rFonts w:ascii="Times New Roman" w:hAnsi="Times New Roman" w:cs="Times New Roman"/>
          <w:b/>
          <w:sz w:val="24"/>
          <w:szCs w:val="24"/>
        </w:rPr>
        <w:t>Re:</w:t>
      </w:r>
      <w:r>
        <w:rPr>
          <w:rFonts w:ascii="Times New Roman" w:hAnsi="Times New Roman" w:cs="Times New Roman"/>
          <w:sz w:val="24"/>
          <w:szCs w:val="24"/>
        </w:rPr>
        <w:t xml:space="preserve"> </w:t>
      </w:r>
      <w:r w:rsidRPr="00714374">
        <w:rPr>
          <w:rFonts w:ascii="Times New Roman" w:hAnsi="Times New Roman" w:cs="Times New Roman"/>
          <w:sz w:val="24"/>
          <w:szCs w:val="24"/>
        </w:rPr>
        <w:t>Draft Behavioral, Retrocommissioning and Operational (BROs) results for 2</w:t>
      </w:r>
      <w:r>
        <w:rPr>
          <w:rFonts w:ascii="Times New Roman" w:hAnsi="Times New Roman" w:cs="Times New Roman"/>
          <w:sz w:val="24"/>
          <w:szCs w:val="24"/>
        </w:rPr>
        <w:t>018 Market Potential and Beyond</w:t>
      </w:r>
    </w:p>
    <w:p w:rsidR="00714374" w:rsidRPr="00714374" w:rsidRDefault="00714374" w:rsidP="00714374">
      <w:pPr>
        <w:tabs>
          <w:tab w:val="left" w:pos="810"/>
        </w:tabs>
        <w:spacing w:before="240"/>
        <w:ind w:left="810" w:right="1260" w:hanging="810"/>
        <w:contextualSpacing/>
        <w:jc w:val="both"/>
        <w:rPr>
          <w:rFonts w:ascii="Times New Roman" w:hAnsi="Times New Roman" w:cs="Times New Roman"/>
          <w:color w:val="000000" w:themeColor="text1"/>
          <w:sz w:val="24"/>
          <w:szCs w:val="24"/>
        </w:rPr>
      </w:pPr>
    </w:p>
    <w:p w:rsidR="00714374" w:rsidRPr="00122CC5" w:rsidRDefault="00714374" w:rsidP="00714374">
      <w:pPr>
        <w:tabs>
          <w:tab w:val="left" w:pos="360"/>
        </w:tabs>
        <w:autoSpaceDE w:val="0"/>
        <w:autoSpaceDN w:val="0"/>
        <w:adjustRightInd w:val="0"/>
        <w:spacing w:before="3" w:after="0"/>
        <w:ind w:left="86" w:firstLine="720"/>
        <w:contextualSpacing/>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 xml:space="preserve">Southern California Edison Company (SCE) appreciates the opportunity to provide comments on the California Public Utilities Commission’s (CPUC’s) draft results regarding Energy Efficiency Potential and Goals Study for 2018 and Beyond’s Draft </w:t>
      </w:r>
      <w:r>
        <w:rPr>
          <w:rFonts w:ascii="Times New Roman" w:eastAsia="Times New Roman" w:hAnsi="Times New Roman" w:cs="Times New Roman"/>
          <w:color w:val="000000"/>
          <w:sz w:val="24"/>
          <w:szCs w:val="24"/>
        </w:rPr>
        <w:t>Behavior, Retrocommissing, and Operational (BRO) savings results</w:t>
      </w:r>
      <w:r w:rsidRPr="00122CC5">
        <w:rPr>
          <w:rFonts w:ascii="Times New Roman" w:eastAsia="Times New Roman" w:hAnsi="Times New Roman" w:cs="Times New Roman"/>
          <w:color w:val="000000"/>
          <w:sz w:val="24"/>
          <w:szCs w:val="24"/>
        </w:rPr>
        <w:t>.</w:t>
      </w:r>
    </w:p>
    <w:p w:rsidR="00122CC5" w:rsidRPr="00714374" w:rsidRDefault="00122CC5" w:rsidP="00714374">
      <w:pPr>
        <w:tabs>
          <w:tab w:val="left" w:pos="360"/>
        </w:tabs>
        <w:autoSpaceDE w:val="0"/>
        <w:autoSpaceDN w:val="0"/>
        <w:adjustRightInd w:val="0"/>
        <w:spacing w:before="3" w:after="0"/>
        <w:ind w:left="86" w:firstLine="720"/>
        <w:contextualSpacing/>
        <w:jc w:val="both"/>
        <w:rPr>
          <w:rFonts w:ascii="Times New Roman" w:eastAsia="Times New Roman" w:hAnsi="Times New Roman" w:cs="Times New Roman"/>
          <w:color w:val="000000"/>
          <w:sz w:val="24"/>
          <w:szCs w:val="24"/>
        </w:rPr>
      </w:pPr>
    </w:p>
    <w:p w:rsidR="00714374" w:rsidRPr="00714374" w:rsidRDefault="00714374" w:rsidP="00714374">
      <w:pPr>
        <w:tabs>
          <w:tab w:val="left" w:pos="360"/>
        </w:tabs>
        <w:autoSpaceDE w:val="0"/>
        <w:autoSpaceDN w:val="0"/>
        <w:adjustRightInd w:val="0"/>
        <w:spacing w:before="3" w:after="0"/>
        <w:ind w:left="86" w:firstLine="720"/>
        <w:contextualSpacing/>
        <w:jc w:val="both"/>
        <w:rPr>
          <w:rFonts w:ascii="Times New Roman" w:eastAsia="Times New Roman" w:hAnsi="Times New Roman" w:cs="Times New Roman"/>
          <w:color w:val="000000"/>
          <w:sz w:val="24"/>
          <w:szCs w:val="24"/>
        </w:rPr>
      </w:pPr>
      <w:r w:rsidRPr="00714374">
        <w:rPr>
          <w:rFonts w:ascii="Times New Roman" w:eastAsia="Times New Roman" w:hAnsi="Times New Roman" w:cs="Times New Roman"/>
          <w:color w:val="000000"/>
          <w:sz w:val="24"/>
          <w:szCs w:val="24"/>
        </w:rPr>
        <w:t>On April 20, 2017, the California Public Utilities Commission’s (CPUC) Energy Division (ED) held a Demand Analysis Working Group (DAWG) conference call focusing on the 2018 EE Potential and Goals Study modeling of Behavioral, Retro-Commissioning and Operational (BROs) Savings.  ED and their consultant Navigant requested Stakeholder comments to be informally supplied on May 4, 2017.  Southern California Edison Company (SCE) is pleased to provide comments draft BROS modeling methodology and model output.</w:t>
      </w:r>
    </w:p>
    <w:p w:rsidR="000F6B2C" w:rsidRPr="00122CC5" w:rsidRDefault="00122CC5" w:rsidP="00714374">
      <w:pPr>
        <w:pStyle w:val="Heading1"/>
        <w:jc w:val="both"/>
        <w:rPr>
          <w:rFonts w:ascii="Times New Roman" w:hAnsi="Times New Roman" w:cs="Times New Roman"/>
        </w:rPr>
      </w:pPr>
      <w:r w:rsidRPr="00122CC5">
        <w:rPr>
          <w:rFonts w:ascii="Times New Roman" w:hAnsi="Times New Roman" w:cs="Times New Roman"/>
        </w:rPr>
        <w:t>1. Introduction:</w:t>
      </w:r>
    </w:p>
    <w:p w:rsidR="000F6B2C" w:rsidRPr="00122CC5" w:rsidRDefault="00B53FDC" w:rsidP="00714374">
      <w:pPr>
        <w:pStyle w:val="NormalWeb"/>
        <w:spacing w:before="0" w:beforeAutospacing="0" w:after="200" w:afterAutospacing="0" w:line="360" w:lineRule="auto"/>
        <w:ind w:firstLine="720"/>
        <w:jc w:val="both"/>
        <w:rPr>
          <w:color w:val="000000"/>
        </w:rPr>
      </w:pPr>
      <w:r>
        <w:rPr>
          <w:color w:val="000000"/>
        </w:rPr>
        <w:t>SCE’</w:t>
      </w:r>
      <w:r w:rsidR="006428A5" w:rsidRPr="00122CC5">
        <w:rPr>
          <w:color w:val="000000"/>
        </w:rPr>
        <w:t xml:space="preserve">s </w:t>
      </w:r>
      <w:r w:rsidR="000F6B2C" w:rsidRPr="00122CC5">
        <w:rPr>
          <w:color w:val="000000"/>
        </w:rPr>
        <w:t>E</w:t>
      </w:r>
      <w:r w:rsidR="006428A5" w:rsidRPr="00122CC5">
        <w:rPr>
          <w:color w:val="000000"/>
        </w:rPr>
        <w:t xml:space="preserve">nergy </w:t>
      </w:r>
      <w:r w:rsidR="000F6B2C" w:rsidRPr="00122CC5">
        <w:rPr>
          <w:color w:val="000000"/>
        </w:rPr>
        <w:t>E</w:t>
      </w:r>
      <w:r w:rsidR="006428A5" w:rsidRPr="00122CC5">
        <w:rPr>
          <w:color w:val="000000"/>
        </w:rPr>
        <w:t>fficiency</w:t>
      </w:r>
      <w:r w:rsidR="000F6B2C" w:rsidRPr="00122CC5">
        <w:rPr>
          <w:color w:val="000000"/>
        </w:rPr>
        <w:t xml:space="preserve"> </w:t>
      </w:r>
      <w:r w:rsidR="006428A5" w:rsidRPr="00122CC5">
        <w:rPr>
          <w:color w:val="000000"/>
        </w:rPr>
        <w:t xml:space="preserve">(EE) </w:t>
      </w:r>
      <w:r w:rsidR="000F6B2C" w:rsidRPr="00122CC5">
        <w:rPr>
          <w:color w:val="000000"/>
        </w:rPr>
        <w:t>P</w:t>
      </w:r>
      <w:r w:rsidR="006428A5" w:rsidRPr="00122CC5">
        <w:rPr>
          <w:color w:val="000000"/>
        </w:rPr>
        <w:t>ortfolio</w:t>
      </w:r>
      <w:r w:rsidR="000F6B2C" w:rsidRPr="00122CC5">
        <w:rPr>
          <w:color w:val="000000"/>
        </w:rPr>
        <w:t xml:space="preserve"> will be designed and built to meet or beat the promulgated EE goals in a cost-effective, reliable and achievable manner. Operationalizing </w:t>
      </w:r>
      <w:r w:rsidR="00714374">
        <w:rPr>
          <w:color w:val="000000"/>
        </w:rPr>
        <w:t xml:space="preserve">SB350 and </w:t>
      </w:r>
      <w:r w:rsidR="006428A5" w:rsidRPr="00122CC5">
        <w:rPr>
          <w:color w:val="000000"/>
        </w:rPr>
        <w:t>AB802’s</w:t>
      </w:r>
      <w:r w:rsidR="000F6B2C" w:rsidRPr="00122CC5">
        <w:rPr>
          <w:color w:val="000000"/>
        </w:rPr>
        <w:t xml:space="preserve"> BRO requirements inject significant amounts of uncertainty into the goal setting process as most BRO programs do not currently exist or programs are in the process of being significantly retoo</w:t>
      </w:r>
      <w:r w:rsidR="006428A5" w:rsidRPr="00122CC5">
        <w:rPr>
          <w:color w:val="000000"/>
        </w:rPr>
        <w:t>led to meet the requirements of these efforts.</w:t>
      </w:r>
      <w:r w:rsidR="000F6B2C" w:rsidRPr="00122CC5">
        <w:rPr>
          <w:color w:val="000000"/>
        </w:rPr>
        <w:t xml:space="preserve"> These increased uncertainty levels creates </w:t>
      </w:r>
      <w:r w:rsidR="002009D7" w:rsidRPr="00122CC5">
        <w:rPr>
          <w:color w:val="000000"/>
        </w:rPr>
        <w:t xml:space="preserve">methodological </w:t>
      </w:r>
      <w:r w:rsidR="00274810" w:rsidRPr="00122CC5">
        <w:rPr>
          <w:color w:val="000000"/>
        </w:rPr>
        <w:t>challenges</w:t>
      </w:r>
      <w:r w:rsidR="000F6B2C" w:rsidRPr="00122CC5">
        <w:rPr>
          <w:color w:val="000000"/>
        </w:rPr>
        <w:t xml:space="preserve"> for Forecasters, EE Program Managers, and Regulators alike, on how to address uncertainty and assure potential savings is reasonably quantified while assuring savings goals are achievable, and can be reliably </w:t>
      </w:r>
      <w:r>
        <w:rPr>
          <w:color w:val="000000"/>
        </w:rPr>
        <w:t xml:space="preserve">captured while addressing </w:t>
      </w:r>
      <w:r w:rsidR="006428A5" w:rsidRPr="00122CC5">
        <w:rPr>
          <w:color w:val="000000"/>
        </w:rPr>
        <w:t>cost-effective</w:t>
      </w:r>
      <w:r>
        <w:rPr>
          <w:color w:val="000000"/>
        </w:rPr>
        <w:t xml:space="preserve"> requirements of </w:t>
      </w:r>
      <w:r w:rsidR="000F6B2C" w:rsidRPr="00122CC5">
        <w:rPr>
          <w:color w:val="000000"/>
        </w:rPr>
        <w:t>EE Programs.</w:t>
      </w:r>
    </w:p>
    <w:p w:rsidR="000F6B2C" w:rsidRDefault="000F6B2C" w:rsidP="00714374">
      <w:pPr>
        <w:pStyle w:val="NormalWeb"/>
        <w:spacing w:before="0" w:beforeAutospacing="0" w:after="200" w:afterAutospacing="0" w:line="360" w:lineRule="auto"/>
        <w:ind w:firstLine="720"/>
        <w:jc w:val="both"/>
        <w:rPr>
          <w:color w:val="000000"/>
        </w:rPr>
      </w:pPr>
      <w:r w:rsidRPr="00714374">
        <w:rPr>
          <w:color w:val="000000"/>
        </w:rPr>
        <w:t>SCE suggest</w:t>
      </w:r>
      <w:r w:rsidR="002009D7" w:rsidRPr="00714374">
        <w:rPr>
          <w:color w:val="000000"/>
        </w:rPr>
        <w:t xml:space="preserve">s </w:t>
      </w:r>
      <w:r w:rsidR="005B01EE" w:rsidRPr="00714374">
        <w:rPr>
          <w:color w:val="000000"/>
        </w:rPr>
        <w:t xml:space="preserve">reflecting uncertainty in the Market Potential through </w:t>
      </w:r>
      <w:r w:rsidR="00416040" w:rsidRPr="00714374">
        <w:rPr>
          <w:color w:val="000000"/>
        </w:rPr>
        <w:t xml:space="preserve">a </w:t>
      </w:r>
      <w:r w:rsidR="005B01EE" w:rsidRPr="00714374">
        <w:rPr>
          <w:color w:val="000000"/>
        </w:rPr>
        <w:t xml:space="preserve">Methodology </w:t>
      </w:r>
      <w:r w:rsidR="00274810" w:rsidRPr="00714374">
        <w:rPr>
          <w:color w:val="000000"/>
        </w:rPr>
        <w:t>t</w:t>
      </w:r>
      <w:r w:rsidR="00416040" w:rsidRPr="00714374">
        <w:rPr>
          <w:color w:val="000000"/>
        </w:rPr>
        <w:t>hat</w:t>
      </w:r>
      <w:r w:rsidRPr="00714374">
        <w:rPr>
          <w:color w:val="000000"/>
        </w:rPr>
        <w:t xml:space="preserve"> </w:t>
      </w:r>
      <w:r w:rsidR="005B01EE" w:rsidRPr="00714374">
        <w:rPr>
          <w:color w:val="000000"/>
        </w:rPr>
        <w:t>ensure</w:t>
      </w:r>
      <w:r w:rsidR="00416040" w:rsidRPr="00714374">
        <w:rPr>
          <w:color w:val="000000"/>
        </w:rPr>
        <w:t>s</w:t>
      </w:r>
      <w:r w:rsidR="005B01EE" w:rsidRPr="00714374">
        <w:rPr>
          <w:color w:val="000000"/>
        </w:rPr>
        <w:t xml:space="preserve"> that these estimates are reasonably expected to occur.</w:t>
      </w:r>
      <w:r w:rsidR="00286BD8" w:rsidRPr="00714374">
        <w:rPr>
          <w:color w:val="000000"/>
        </w:rPr>
        <w:t xml:space="preserve"> </w:t>
      </w:r>
      <w:r w:rsidR="005B01EE" w:rsidRPr="00714374">
        <w:rPr>
          <w:color w:val="000000"/>
        </w:rPr>
        <w:t xml:space="preserve">As evident in the draft BROs model </w:t>
      </w:r>
      <w:r w:rsidR="005B01EE" w:rsidRPr="00714374">
        <w:rPr>
          <w:color w:val="000000"/>
        </w:rPr>
        <w:lastRenderedPageBreak/>
        <w:t xml:space="preserve">output, there </w:t>
      </w:r>
      <w:r w:rsidR="006428A5" w:rsidRPr="00714374">
        <w:rPr>
          <w:color w:val="000000"/>
        </w:rPr>
        <w:t>are</w:t>
      </w:r>
      <w:r w:rsidR="005B01EE" w:rsidRPr="00714374">
        <w:rPr>
          <w:color w:val="000000"/>
        </w:rPr>
        <w:t xml:space="preserve"> </w:t>
      </w:r>
      <w:r w:rsidR="006428A5" w:rsidRPr="00714374">
        <w:rPr>
          <w:color w:val="000000"/>
        </w:rPr>
        <w:t>challenges</w:t>
      </w:r>
      <w:r w:rsidR="005B01EE" w:rsidRPr="00714374">
        <w:rPr>
          <w:color w:val="000000"/>
        </w:rPr>
        <w:t xml:space="preserve"> in </w:t>
      </w:r>
      <w:r w:rsidR="006428A5" w:rsidRPr="00714374">
        <w:rPr>
          <w:color w:val="000000"/>
        </w:rPr>
        <w:t>meeting the</w:t>
      </w:r>
      <w:r w:rsidR="005B01EE" w:rsidRPr="00714374">
        <w:rPr>
          <w:color w:val="000000"/>
        </w:rPr>
        <w:t xml:space="preserve"> objects between all three key users of the EE Potential and Goals study output – Regulator</w:t>
      </w:r>
      <w:r w:rsidR="00B53FDC">
        <w:rPr>
          <w:color w:val="000000"/>
        </w:rPr>
        <w:t>’</w:t>
      </w:r>
      <w:r w:rsidR="005B01EE" w:rsidRPr="00714374">
        <w:rPr>
          <w:color w:val="000000"/>
        </w:rPr>
        <w:t>s, Forecaste</w:t>
      </w:r>
      <w:r w:rsidR="006428A5" w:rsidRPr="00714374">
        <w:rPr>
          <w:color w:val="000000"/>
        </w:rPr>
        <w:t>r</w:t>
      </w:r>
      <w:r w:rsidR="00B53FDC">
        <w:rPr>
          <w:color w:val="000000"/>
        </w:rPr>
        <w:t>’</w:t>
      </w:r>
      <w:r w:rsidR="006428A5" w:rsidRPr="00714374">
        <w:rPr>
          <w:color w:val="000000"/>
        </w:rPr>
        <w:t xml:space="preserve">s and </w:t>
      </w:r>
      <w:r w:rsidR="00B53FDC">
        <w:rPr>
          <w:color w:val="000000"/>
        </w:rPr>
        <w:t>Program Administrator’s</w:t>
      </w:r>
      <w:r w:rsidR="006428A5" w:rsidRPr="00714374">
        <w:rPr>
          <w:color w:val="000000"/>
        </w:rPr>
        <w:t xml:space="preserve"> in pursuit of achieving SB350</w:t>
      </w:r>
      <w:r w:rsidR="00B53FDC">
        <w:rPr>
          <w:color w:val="000000"/>
        </w:rPr>
        <w:t xml:space="preserve"> efficiency goals.</w:t>
      </w:r>
      <w:r w:rsidR="006428A5" w:rsidRPr="00714374">
        <w:rPr>
          <w:color w:val="000000"/>
        </w:rPr>
        <w:t xml:space="preserve"> </w:t>
      </w:r>
      <w:r w:rsidRPr="00714374">
        <w:rPr>
          <w:color w:val="000000"/>
        </w:rPr>
        <w:t>Assessing bounds of uncertainty inherent in this new environment in constructing EE program goals is required to assure goals are constructed that are reliable, achievable and cost-effective</w:t>
      </w:r>
      <w:r w:rsidR="006428A5" w:rsidRPr="00714374">
        <w:rPr>
          <w:color w:val="000000"/>
        </w:rPr>
        <w:t xml:space="preserve"> to include</w:t>
      </w:r>
      <w:r w:rsidR="00B0510E" w:rsidRPr="00714374">
        <w:rPr>
          <w:color w:val="000000"/>
        </w:rPr>
        <w:t>:</w:t>
      </w:r>
    </w:p>
    <w:p w:rsidR="000F6B2C" w:rsidRPr="00122CC5" w:rsidRDefault="000F6B2C" w:rsidP="00714374">
      <w:pPr>
        <w:pStyle w:val="NormalWeb"/>
        <w:spacing w:before="0" w:beforeAutospacing="0" w:after="200" w:afterAutospacing="0" w:line="360" w:lineRule="auto"/>
        <w:ind w:firstLine="720"/>
        <w:jc w:val="both"/>
        <w:rPr>
          <w:color w:val="000000"/>
        </w:rPr>
      </w:pPr>
      <w:r w:rsidRPr="00122CC5">
        <w:rPr>
          <w:color w:val="000000"/>
        </w:rPr>
        <w:t>1) EE program goals are reliable, achievable and cost-effective</w:t>
      </w:r>
    </w:p>
    <w:p w:rsidR="000F6B2C" w:rsidRPr="00122CC5" w:rsidRDefault="000F6B2C" w:rsidP="00714374">
      <w:pPr>
        <w:spacing w:before="100" w:beforeAutospacing="1" w:after="100" w:afterAutospacing="1" w:line="240" w:lineRule="auto"/>
        <w:ind w:left="720"/>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2) Public Policy impacts on program requirement are explicitly addressed</w:t>
      </w:r>
    </w:p>
    <w:p w:rsidR="00B0510E" w:rsidRPr="00122CC5" w:rsidRDefault="000F6B2C" w:rsidP="00714374">
      <w:pPr>
        <w:spacing w:before="100" w:beforeAutospacing="1" w:after="100" w:afterAutospacing="1" w:line="240" w:lineRule="auto"/>
        <w:ind w:left="720"/>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3) PA program limitations are explicitly addressed</w:t>
      </w:r>
    </w:p>
    <w:p w:rsidR="000F6B2C" w:rsidRPr="00122CC5" w:rsidRDefault="00B0510E" w:rsidP="00714374">
      <w:pPr>
        <w:spacing w:before="100" w:beforeAutospacing="1" w:after="100" w:afterAutospacing="1" w:line="240" w:lineRule="auto"/>
        <w:ind w:left="720"/>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 xml:space="preserve">4) </w:t>
      </w:r>
      <w:r w:rsidR="000F6B2C" w:rsidRPr="00122CC5">
        <w:rPr>
          <w:rFonts w:ascii="Times New Roman" w:eastAsia="Times New Roman" w:hAnsi="Times New Roman" w:cs="Times New Roman"/>
          <w:color w:val="000000"/>
          <w:sz w:val="24"/>
          <w:szCs w:val="24"/>
        </w:rPr>
        <w:t>CPUC policy impacts of program savings are explicitly addressed</w:t>
      </w:r>
    </w:p>
    <w:p w:rsidR="00A90A77" w:rsidRPr="00122CC5" w:rsidRDefault="00DF518E" w:rsidP="00714374">
      <w:pPr>
        <w:spacing w:line="360" w:lineRule="auto"/>
        <w:ind w:firstLine="720"/>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 xml:space="preserve">The draft BRO methodology deployed by ED and Navigant, does what is it designed to do, estimate Achievable Potential, but </w:t>
      </w:r>
      <w:r w:rsidR="00B0510E" w:rsidRPr="00122CC5">
        <w:rPr>
          <w:rFonts w:ascii="Times New Roman" w:eastAsia="Times New Roman" w:hAnsi="Times New Roman" w:cs="Times New Roman"/>
          <w:color w:val="000000"/>
          <w:sz w:val="24"/>
          <w:szCs w:val="24"/>
        </w:rPr>
        <w:t>discounts</w:t>
      </w:r>
      <w:r w:rsidRPr="00122CC5">
        <w:rPr>
          <w:rFonts w:ascii="Times New Roman" w:eastAsia="Times New Roman" w:hAnsi="Times New Roman" w:cs="Times New Roman"/>
          <w:color w:val="000000"/>
          <w:sz w:val="24"/>
          <w:szCs w:val="24"/>
        </w:rPr>
        <w:t xml:space="preserve"> current Regulatory and Program constraints.  It is critically important that the EE Potential and Goals study methodology reasonably account </w:t>
      </w:r>
      <w:r w:rsidR="00B0510E" w:rsidRPr="00122CC5">
        <w:rPr>
          <w:rFonts w:ascii="Times New Roman" w:eastAsia="Times New Roman" w:hAnsi="Times New Roman" w:cs="Times New Roman"/>
          <w:color w:val="000000"/>
          <w:sz w:val="24"/>
          <w:szCs w:val="24"/>
        </w:rPr>
        <w:t xml:space="preserve">for </w:t>
      </w:r>
      <w:r w:rsidRPr="00122CC5">
        <w:rPr>
          <w:rFonts w:ascii="Times New Roman" w:eastAsia="Times New Roman" w:hAnsi="Times New Roman" w:cs="Times New Roman"/>
          <w:color w:val="000000"/>
          <w:sz w:val="24"/>
          <w:szCs w:val="24"/>
        </w:rPr>
        <w:t xml:space="preserve">EE Program goals output that estimates EE Program potential under current </w:t>
      </w:r>
      <w:r w:rsidR="006428A5" w:rsidRPr="00122CC5">
        <w:rPr>
          <w:rFonts w:ascii="Times New Roman" w:eastAsia="Times New Roman" w:hAnsi="Times New Roman" w:cs="Times New Roman"/>
          <w:color w:val="000000"/>
          <w:sz w:val="24"/>
          <w:szCs w:val="24"/>
        </w:rPr>
        <w:t>conditions</w:t>
      </w:r>
      <w:r w:rsidRPr="00122CC5">
        <w:rPr>
          <w:rFonts w:ascii="Times New Roman" w:eastAsia="Times New Roman" w:hAnsi="Times New Roman" w:cs="Times New Roman"/>
          <w:color w:val="000000"/>
          <w:sz w:val="24"/>
          <w:szCs w:val="24"/>
        </w:rPr>
        <w:t xml:space="preserve">, but remains nimble enough to provide updated EE Program goals as Regulatory and Program </w:t>
      </w:r>
      <w:r w:rsidR="00883A3F" w:rsidRPr="00122CC5">
        <w:rPr>
          <w:rFonts w:ascii="Times New Roman" w:eastAsia="Times New Roman" w:hAnsi="Times New Roman" w:cs="Times New Roman"/>
          <w:color w:val="000000"/>
          <w:sz w:val="24"/>
          <w:szCs w:val="24"/>
        </w:rPr>
        <w:t xml:space="preserve">rules and metrics </w:t>
      </w:r>
      <w:r w:rsidR="006428A5" w:rsidRPr="00122CC5">
        <w:rPr>
          <w:rFonts w:ascii="Times New Roman" w:eastAsia="Times New Roman" w:hAnsi="Times New Roman" w:cs="Times New Roman"/>
          <w:color w:val="000000"/>
          <w:sz w:val="24"/>
          <w:szCs w:val="24"/>
        </w:rPr>
        <w:t xml:space="preserve">become </w:t>
      </w:r>
      <w:r w:rsidR="00883A3F" w:rsidRPr="00122CC5">
        <w:rPr>
          <w:rFonts w:ascii="Times New Roman" w:eastAsia="Times New Roman" w:hAnsi="Times New Roman" w:cs="Times New Roman"/>
          <w:color w:val="000000"/>
          <w:sz w:val="24"/>
          <w:szCs w:val="24"/>
        </w:rPr>
        <w:t>more clearly</w:t>
      </w:r>
      <w:r w:rsidR="006428A5" w:rsidRPr="00122CC5">
        <w:rPr>
          <w:rFonts w:ascii="Times New Roman" w:eastAsia="Times New Roman" w:hAnsi="Times New Roman" w:cs="Times New Roman"/>
          <w:color w:val="000000"/>
          <w:sz w:val="24"/>
          <w:szCs w:val="24"/>
        </w:rPr>
        <w:t xml:space="preserve"> defined </w:t>
      </w:r>
      <w:r w:rsidR="00883A3F" w:rsidRPr="00122CC5">
        <w:rPr>
          <w:rFonts w:ascii="Times New Roman" w:eastAsia="Times New Roman" w:hAnsi="Times New Roman" w:cs="Times New Roman"/>
          <w:color w:val="000000"/>
          <w:sz w:val="24"/>
          <w:szCs w:val="24"/>
        </w:rPr>
        <w:t xml:space="preserve">and operationalize </w:t>
      </w:r>
      <w:r w:rsidR="006428A5" w:rsidRPr="00122CC5">
        <w:rPr>
          <w:rFonts w:ascii="Times New Roman" w:eastAsia="Times New Roman" w:hAnsi="Times New Roman" w:cs="Times New Roman"/>
          <w:color w:val="000000"/>
          <w:sz w:val="24"/>
          <w:szCs w:val="24"/>
        </w:rPr>
        <w:t xml:space="preserve">through vehicles such as </w:t>
      </w:r>
      <w:r w:rsidRPr="00122CC5">
        <w:rPr>
          <w:rFonts w:ascii="Times New Roman" w:eastAsia="Times New Roman" w:hAnsi="Times New Roman" w:cs="Times New Roman"/>
          <w:color w:val="000000"/>
          <w:sz w:val="24"/>
          <w:szCs w:val="24"/>
        </w:rPr>
        <w:t>the Rolling Portfolio</w:t>
      </w:r>
      <w:r w:rsidR="00B0510E" w:rsidRPr="00122CC5">
        <w:rPr>
          <w:rFonts w:ascii="Times New Roman" w:eastAsia="Times New Roman" w:hAnsi="Times New Roman" w:cs="Times New Roman"/>
          <w:color w:val="000000"/>
          <w:sz w:val="24"/>
          <w:szCs w:val="24"/>
        </w:rPr>
        <w:t>’s</w:t>
      </w:r>
      <w:r w:rsidRPr="00122CC5">
        <w:rPr>
          <w:rFonts w:ascii="Times New Roman" w:eastAsia="Times New Roman" w:hAnsi="Times New Roman" w:cs="Times New Roman"/>
          <w:color w:val="000000"/>
          <w:sz w:val="24"/>
          <w:szCs w:val="24"/>
        </w:rPr>
        <w:t xml:space="preserve"> Bus Stop.</w:t>
      </w:r>
      <w:r w:rsidR="00A90A77" w:rsidRPr="00122CC5">
        <w:rPr>
          <w:rFonts w:ascii="Times New Roman" w:eastAsia="Times New Roman" w:hAnsi="Times New Roman" w:cs="Times New Roman"/>
          <w:color w:val="000000"/>
          <w:sz w:val="24"/>
          <w:szCs w:val="24"/>
        </w:rPr>
        <w:t xml:space="preserve"> </w:t>
      </w:r>
    </w:p>
    <w:p w:rsidR="00CA637F" w:rsidRPr="00122CC5" w:rsidRDefault="00A90A77" w:rsidP="00714374">
      <w:pPr>
        <w:spacing w:line="360" w:lineRule="auto"/>
        <w:ind w:firstLine="720"/>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SCE suggest</w:t>
      </w:r>
      <w:r w:rsidR="00883A3F" w:rsidRPr="00122CC5">
        <w:rPr>
          <w:rFonts w:ascii="Times New Roman" w:eastAsia="Times New Roman" w:hAnsi="Times New Roman" w:cs="Times New Roman"/>
          <w:color w:val="000000"/>
          <w:sz w:val="24"/>
          <w:szCs w:val="24"/>
        </w:rPr>
        <w:t>s</w:t>
      </w:r>
      <w:r w:rsidRPr="00122CC5">
        <w:rPr>
          <w:rFonts w:ascii="Times New Roman" w:eastAsia="Times New Roman" w:hAnsi="Times New Roman" w:cs="Times New Roman"/>
          <w:color w:val="000000"/>
          <w:sz w:val="24"/>
          <w:szCs w:val="24"/>
        </w:rPr>
        <w:t xml:space="preserve"> that in order to reflect current program </w:t>
      </w:r>
      <w:r w:rsidR="00CA637F" w:rsidRPr="00122CC5">
        <w:rPr>
          <w:rFonts w:ascii="Times New Roman" w:eastAsia="Times New Roman" w:hAnsi="Times New Roman" w:cs="Times New Roman"/>
          <w:color w:val="000000"/>
          <w:sz w:val="24"/>
          <w:szCs w:val="24"/>
        </w:rPr>
        <w:t>uncertainty</w:t>
      </w:r>
      <w:r w:rsidRPr="00122CC5">
        <w:rPr>
          <w:rFonts w:ascii="Times New Roman" w:eastAsia="Times New Roman" w:hAnsi="Times New Roman" w:cs="Times New Roman"/>
          <w:color w:val="000000"/>
          <w:sz w:val="24"/>
          <w:szCs w:val="24"/>
        </w:rPr>
        <w:t xml:space="preserve"> of these emerging interventions </w:t>
      </w:r>
      <w:r w:rsidR="00CA637F" w:rsidRPr="00122CC5">
        <w:rPr>
          <w:rFonts w:ascii="Times New Roman" w:eastAsia="Times New Roman" w:hAnsi="Times New Roman" w:cs="Times New Roman"/>
          <w:color w:val="000000"/>
          <w:sz w:val="24"/>
          <w:szCs w:val="24"/>
        </w:rPr>
        <w:t>in</w:t>
      </w:r>
      <w:r w:rsidR="00A649A3" w:rsidRPr="00122CC5">
        <w:rPr>
          <w:rFonts w:ascii="Times New Roman" w:eastAsia="Times New Roman" w:hAnsi="Times New Roman" w:cs="Times New Roman"/>
          <w:color w:val="000000"/>
          <w:sz w:val="24"/>
          <w:szCs w:val="24"/>
        </w:rPr>
        <w:t xml:space="preserve"> the market potential </w:t>
      </w:r>
      <w:r w:rsidR="00883A3F" w:rsidRPr="00122CC5">
        <w:rPr>
          <w:rFonts w:ascii="Times New Roman" w:eastAsia="Times New Roman" w:hAnsi="Times New Roman" w:cs="Times New Roman"/>
          <w:color w:val="000000"/>
          <w:sz w:val="24"/>
          <w:szCs w:val="24"/>
        </w:rPr>
        <w:t xml:space="preserve">to adjust </w:t>
      </w:r>
      <w:r w:rsidR="00CA637F" w:rsidRPr="00122CC5">
        <w:rPr>
          <w:rFonts w:ascii="Times New Roman" w:eastAsia="Times New Roman" w:hAnsi="Times New Roman" w:cs="Times New Roman"/>
          <w:color w:val="000000"/>
          <w:sz w:val="24"/>
          <w:szCs w:val="24"/>
        </w:rPr>
        <w:t xml:space="preserve">the adoption </w:t>
      </w:r>
      <w:r w:rsidR="006428A5" w:rsidRPr="00122CC5">
        <w:rPr>
          <w:rFonts w:ascii="Times New Roman" w:eastAsia="Times New Roman" w:hAnsi="Times New Roman" w:cs="Times New Roman"/>
          <w:color w:val="000000"/>
          <w:sz w:val="24"/>
          <w:szCs w:val="24"/>
        </w:rPr>
        <w:t xml:space="preserve">assumption </w:t>
      </w:r>
      <w:r w:rsidR="00CA637F" w:rsidRPr="00122CC5">
        <w:rPr>
          <w:rFonts w:ascii="Times New Roman" w:eastAsia="Times New Roman" w:hAnsi="Times New Roman" w:cs="Times New Roman"/>
          <w:color w:val="000000"/>
          <w:sz w:val="24"/>
          <w:szCs w:val="24"/>
        </w:rPr>
        <w:t xml:space="preserve">of the these interventions to reflect what is deemed reasonably likely to occur within each intervention. For an offering such as Home Energy Reports there is greater certainty around the reasonableness of the cost-effective market potential. Interventions such as RCx will need to work through uncertainty as the programs are retooled to capture </w:t>
      </w:r>
      <w:r w:rsidR="006428A5" w:rsidRPr="00122CC5">
        <w:rPr>
          <w:rFonts w:ascii="Times New Roman" w:eastAsia="Times New Roman" w:hAnsi="Times New Roman" w:cs="Times New Roman"/>
          <w:color w:val="000000"/>
          <w:sz w:val="24"/>
          <w:szCs w:val="24"/>
        </w:rPr>
        <w:t xml:space="preserve">savings under new CPUC guidance. Finally, </w:t>
      </w:r>
      <w:r w:rsidR="00CA637F" w:rsidRPr="00122CC5">
        <w:rPr>
          <w:rFonts w:ascii="Times New Roman" w:eastAsia="Times New Roman" w:hAnsi="Times New Roman" w:cs="Times New Roman"/>
          <w:color w:val="000000"/>
          <w:sz w:val="24"/>
          <w:szCs w:val="24"/>
        </w:rPr>
        <w:t xml:space="preserve">interventions such as </w:t>
      </w:r>
      <w:r w:rsidR="006428A5" w:rsidRPr="00122CC5">
        <w:rPr>
          <w:rFonts w:ascii="Times New Roman" w:eastAsia="Times New Roman" w:hAnsi="Times New Roman" w:cs="Times New Roman"/>
          <w:color w:val="000000"/>
          <w:sz w:val="24"/>
          <w:szCs w:val="24"/>
        </w:rPr>
        <w:t>W</w:t>
      </w:r>
      <w:r w:rsidR="00CA637F" w:rsidRPr="00122CC5">
        <w:rPr>
          <w:rFonts w:ascii="Times New Roman" w:eastAsia="Times New Roman" w:hAnsi="Times New Roman" w:cs="Times New Roman"/>
          <w:color w:val="000000"/>
          <w:sz w:val="24"/>
          <w:szCs w:val="24"/>
        </w:rPr>
        <w:t>eb</w:t>
      </w:r>
      <w:r w:rsidR="006428A5" w:rsidRPr="00122CC5">
        <w:rPr>
          <w:rFonts w:ascii="Times New Roman" w:eastAsia="Times New Roman" w:hAnsi="Times New Roman" w:cs="Times New Roman"/>
          <w:color w:val="000000"/>
          <w:sz w:val="24"/>
          <w:szCs w:val="24"/>
        </w:rPr>
        <w:t>-Real Time F</w:t>
      </w:r>
      <w:r w:rsidR="00B53FDC">
        <w:rPr>
          <w:rFonts w:ascii="Times New Roman" w:eastAsia="Times New Roman" w:hAnsi="Times New Roman" w:cs="Times New Roman"/>
          <w:color w:val="000000"/>
          <w:sz w:val="24"/>
          <w:szCs w:val="24"/>
        </w:rPr>
        <w:t>eedback may present long-</w:t>
      </w:r>
      <w:r w:rsidR="00CA637F" w:rsidRPr="00122CC5">
        <w:rPr>
          <w:rFonts w:ascii="Times New Roman" w:eastAsia="Times New Roman" w:hAnsi="Times New Roman" w:cs="Times New Roman"/>
          <w:color w:val="000000"/>
          <w:sz w:val="24"/>
          <w:szCs w:val="24"/>
        </w:rPr>
        <w:t>term economic</w:t>
      </w:r>
      <w:r w:rsidR="00883A3F" w:rsidRPr="00122CC5">
        <w:rPr>
          <w:rFonts w:ascii="Times New Roman" w:eastAsia="Times New Roman" w:hAnsi="Times New Roman" w:cs="Times New Roman"/>
          <w:color w:val="000000"/>
          <w:sz w:val="24"/>
          <w:szCs w:val="24"/>
        </w:rPr>
        <w:t>, but not necessarily market</w:t>
      </w:r>
      <w:r w:rsidR="00CA637F" w:rsidRPr="00122CC5">
        <w:rPr>
          <w:rFonts w:ascii="Times New Roman" w:eastAsia="Times New Roman" w:hAnsi="Times New Roman" w:cs="Times New Roman"/>
          <w:color w:val="000000"/>
          <w:sz w:val="24"/>
          <w:szCs w:val="24"/>
        </w:rPr>
        <w:t xml:space="preserve"> potential</w:t>
      </w:r>
      <w:r w:rsidR="00E75EDE">
        <w:rPr>
          <w:rFonts w:ascii="Times New Roman" w:eastAsia="Times New Roman" w:hAnsi="Times New Roman" w:cs="Times New Roman"/>
          <w:color w:val="000000"/>
          <w:sz w:val="24"/>
          <w:szCs w:val="24"/>
        </w:rPr>
        <w:t xml:space="preserve">.  The calculation of Market Potential must reasonably account for </w:t>
      </w:r>
      <w:r w:rsidR="00CA637F" w:rsidRPr="00122CC5">
        <w:rPr>
          <w:rFonts w:ascii="Times New Roman" w:eastAsia="Times New Roman" w:hAnsi="Times New Roman" w:cs="Times New Roman"/>
          <w:color w:val="000000"/>
          <w:sz w:val="24"/>
          <w:szCs w:val="24"/>
        </w:rPr>
        <w:t xml:space="preserve">consumer uptake </w:t>
      </w:r>
      <w:r w:rsidR="00E75EDE">
        <w:rPr>
          <w:rFonts w:ascii="Times New Roman" w:eastAsia="Times New Roman" w:hAnsi="Times New Roman" w:cs="Times New Roman"/>
          <w:color w:val="000000"/>
          <w:sz w:val="24"/>
          <w:szCs w:val="24"/>
        </w:rPr>
        <w:t>uncertainty and cost-effectiveness constraints</w:t>
      </w:r>
      <w:r w:rsidR="00CA637F" w:rsidRPr="00122CC5">
        <w:rPr>
          <w:rFonts w:ascii="Times New Roman" w:eastAsia="Times New Roman" w:hAnsi="Times New Roman" w:cs="Times New Roman"/>
          <w:color w:val="000000"/>
          <w:sz w:val="24"/>
          <w:szCs w:val="24"/>
        </w:rPr>
        <w:t xml:space="preserve">. </w:t>
      </w:r>
    </w:p>
    <w:p w:rsidR="000F6B2C" w:rsidRPr="00122CC5" w:rsidRDefault="00CA637F" w:rsidP="00D677E3">
      <w:pPr>
        <w:autoSpaceDE w:val="0"/>
        <w:autoSpaceDN w:val="0"/>
        <w:adjustRightInd w:val="0"/>
        <w:spacing w:before="3" w:after="0" w:line="360" w:lineRule="auto"/>
        <w:ind w:firstLine="274"/>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lastRenderedPageBreak/>
        <w:t xml:space="preserve">Historically, EE Potential and Goals studies have been reflective of CPUC policy and program direction.  EE Program Goals have been informed by a midlevel EE Potential forecast calibrated to historic EE program savings activity. Model scenarios focused on changing the measure level adoptions/savings, cost-effectiveness, and savings attribution (EE Program vs. C&amp;S) as a proxy for estimating the effects on the program administrators’ ability to capture the savings.  These concepts worked well as long as the EE programs operated in a placid and slow changing environment.  </w:t>
      </w:r>
      <w:r w:rsidR="000F6B2C" w:rsidRPr="00122CC5">
        <w:rPr>
          <w:rFonts w:ascii="Times New Roman" w:eastAsia="Times New Roman" w:hAnsi="Times New Roman" w:cs="Times New Roman"/>
          <w:color w:val="000000"/>
          <w:sz w:val="24"/>
          <w:szCs w:val="24"/>
        </w:rPr>
        <w:t>Since little data is available for these</w:t>
      </w:r>
      <w:r w:rsidRPr="00122CC5">
        <w:rPr>
          <w:rFonts w:ascii="Times New Roman" w:eastAsia="Times New Roman" w:hAnsi="Times New Roman" w:cs="Times New Roman"/>
          <w:color w:val="000000"/>
          <w:sz w:val="24"/>
          <w:szCs w:val="24"/>
        </w:rPr>
        <w:t xml:space="preserve"> new</w:t>
      </w:r>
      <w:r w:rsidR="000F6B2C" w:rsidRPr="00122CC5">
        <w:rPr>
          <w:rFonts w:ascii="Times New Roman" w:eastAsia="Times New Roman" w:hAnsi="Times New Roman" w:cs="Times New Roman"/>
          <w:color w:val="000000"/>
          <w:sz w:val="24"/>
          <w:szCs w:val="24"/>
        </w:rPr>
        <w:t xml:space="preserve"> programs, these savings estimates will add to the uncertainty of the EE Potential and goals forecast. SCE strongly requests that BROs</w:t>
      </w:r>
      <w:r w:rsidR="00D677E3">
        <w:rPr>
          <w:rFonts w:ascii="Times New Roman" w:eastAsia="Times New Roman" w:hAnsi="Times New Roman" w:cs="Times New Roman"/>
          <w:color w:val="000000"/>
          <w:sz w:val="24"/>
          <w:szCs w:val="24"/>
        </w:rPr>
        <w:t xml:space="preserve"> continue to</w:t>
      </w:r>
      <w:r w:rsidR="000F6B2C" w:rsidRPr="00122CC5">
        <w:rPr>
          <w:rFonts w:ascii="Times New Roman" w:eastAsia="Times New Roman" w:hAnsi="Times New Roman" w:cs="Times New Roman"/>
          <w:color w:val="000000"/>
          <w:sz w:val="24"/>
          <w:szCs w:val="24"/>
        </w:rPr>
        <w:t xml:space="preserve"> be </w:t>
      </w:r>
      <w:r w:rsidRPr="00122CC5">
        <w:rPr>
          <w:rFonts w:ascii="Times New Roman" w:eastAsia="Times New Roman" w:hAnsi="Times New Roman" w:cs="Times New Roman"/>
          <w:color w:val="000000"/>
          <w:sz w:val="24"/>
          <w:szCs w:val="24"/>
        </w:rPr>
        <w:t>considered as</w:t>
      </w:r>
      <w:r w:rsidR="000F6B2C" w:rsidRPr="00122CC5">
        <w:rPr>
          <w:rFonts w:ascii="Times New Roman" w:eastAsia="Times New Roman" w:hAnsi="Times New Roman" w:cs="Times New Roman"/>
          <w:color w:val="000000"/>
          <w:sz w:val="24"/>
          <w:szCs w:val="24"/>
        </w:rPr>
        <w:t xml:space="preserve"> separate components</w:t>
      </w:r>
      <w:r w:rsidR="00883A3F" w:rsidRPr="00122CC5">
        <w:rPr>
          <w:rFonts w:ascii="Times New Roman" w:eastAsia="Times New Roman" w:hAnsi="Times New Roman" w:cs="Times New Roman"/>
          <w:color w:val="000000"/>
          <w:sz w:val="24"/>
          <w:szCs w:val="24"/>
        </w:rPr>
        <w:t>,</w:t>
      </w:r>
      <w:r w:rsidRPr="00122CC5">
        <w:rPr>
          <w:rFonts w:ascii="Times New Roman" w:eastAsia="Times New Roman" w:hAnsi="Times New Roman" w:cs="Times New Roman"/>
          <w:color w:val="000000"/>
          <w:sz w:val="24"/>
          <w:szCs w:val="24"/>
        </w:rPr>
        <w:t xml:space="preserve"> per </w:t>
      </w:r>
      <w:r w:rsidR="00D677E3">
        <w:rPr>
          <w:rFonts w:ascii="Times New Roman" w:eastAsia="Times New Roman" w:hAnsi="Times New Roman" w:cs="Times New Roman"/>
          <w:color w:val="000000"/>
          <w:sz w:val="24"/>
          <w:szCs w:val="24"/>
        </w:rPr>
        <w:t>BROs program</w:t>
      </w:r>
      <w:r w:rsidR="000F6B2C" w:rsidRPr="00122CC5">
        <w:rPr>
          <w:rFonts w:ascii="Times New Roman" w:eastAsia="Times New Roman" w:hAnsi="Times New Roman" w:cs="Times New Roman"/>
          <w:color w:val="000000"/>
          <w:sz w:val="24"/>
          <w:szCs w:val="24"/>
        </w:rPr>
        <w:t xml:space="preserve">, </w:t>
      </w:r>
      <w:r w:rsidR="00D677E3">
        <w:rPr>
          <w:rFonts w:ascii="Times New Roman" w:eastAsia="Times New Roman" w:hAnsi="Times New Roman" w:cs="Times New Roman"/>
          <w:color w:val="000000"/>
          <w:sz w:val="24"/>
          <w:szCs w:val="24"/>
        </w:rPr>
        <w:t xml:space="preserve">and that the uncertainty with the ability to cost-effectively capture their associate potential is adjusted as better program data becomes available.  </w:t>
      </w:r>
    </w:p>
    <w:p w:rsidR="000F6B2C" w:rsidRPr="00122CC5" w:rsidRDefault="000F6B2C" w:rsidP="00714374">
      <w:pPr>
        <w:pStyle w:val="Heading1"/>
        <w:numPr>
          <w:ilvl w:val="2"/>
          <w:numId w:val="1"/>
        </w:numPr>
        <w:spacing w:before="480"/>
        <w:ind w:left="270"/>
        <w:jc w:val="both"/>
        <w:rPr>
          <w:rFonts w:ascii="Times New Roman" w:hAnsi="Times New Roman" w:cs="Times New Roman"/>
        </w:rPr>
      </w:pPr>
      <w:r w:rsidRPr="00122CC5">
        <w:rPr>
          <w:rFonts w:ascii="Times New Roman" w:hAnsi="Times New Roman" w:cs="Times New Roman"/>
        </w:rPr>
        <w:t>Calculation of Cost Effectiveness</w:t>
      </w:r>
      <w:r w:rsidR="00FB7A2A" w:rsidRPr="00122CC5">
        <w:rPr>
          <w:rFonts w:ascii="Times New Roman" w:hAnsi="Times New Roman" w:cs="Times New Roman"/>
        </w:rPr>
        <w:t>:</w:t>
      </w:r>
    </w:p>
    <w:p w:rsidR="000F6B2C" w:rsidRPr="00714374" w:rsidRDefault="000F6B2C" w:rsidP="00714374">
      <w:pPr>
        <w:autoSpaceDE w:val="0"/>
        <w:autoSpaceDN w:val="0"/>
        <w:adjustRightInd w:val="0"/>
        <w:spacing w:before="3" w:after="0" w:line="360" w:lineRule="auto"/>
        <w:ind w:firstLine="274"/>
        <w:jc w:val="both"/>
        <w:rPr>
          <w:rFonts w:ascii="Times New Roman" w:eastAsia="Times New Roman" w:hAnsi="Times New Roman" w:cs="Times New Roman"/>
          <w:color w:val="000000"/>
          <w:sz w:val="24"/>
          <w:szCs w:val="24"/>
        </w:rPr>
      </w:pPr>
      <w:r w:rsidRPr="00122CC5">
        <w:rPr>
          <w:rFonts w:ascii="Times New Roman" w:eastAsia="Times New Roman" w:hAnsi="Times New Roman" w:cs="Times New Roman"/>
          <w:color w:val="000000"/>
          <w:sz w:val="24"/>
          <w:szCs w:val="24"/>
        </w:rPr>
        <w:t>Navigant Consulting’s BRO savings presentation</w:t>
      </w:r>
      <w:r w:rsidRPr="00714374">
        <w:rPr>
          <w:rFonts w:ascii="Times New Roman" w:eastAsia="Times New Roman" w:hAnsi="Times New Roman" w:cs="Times New Roman"/>
          <w:color w:val="000000"/>
          <w:sz w:val="24"/>
          <w:szCs w:val="24"/>
        </w:rPr>
        <w:footnoteReference w:id="1"/>
      </w:r>
      <w:r w:rsidRPr="00714374">
        <w:rPr>
          <w:rFonts w:ascii="Times New Roman" w:eastAsia="Times New Roman" w:hAnsi="Times New Roman" w:cs="Times New Roman"/>
          <w:color w:val="000000"/>
          <w:sz w:val="24"/>
          <w:szCs w:val="24"/>
        </w:rPr>
        <w:t xml:space="preserve"> </w:t>
      </w:r>
      <w:r w:rsidRPr="00122CC5">
        <w:rPr>
          <w:rFonts w:ascii="Times New Roman" w:eastAsia="Times New Roman" w:hAnsi="Times New Roman" w:cs="Times New Roman"/>
          <w:color w:val="000000"/>
          <w:sz w:val="24"/>
          <w:szCs w:val="24"/>
        </w:rPr>
        <w:t>detail the savings, cost and peak to energy ratios and</w:t>
      </w:r>
      <w:r w:rsidR="00286BD8" w:rsidRPr="00122CC5">
        <w:rPr>
          <w:rFonts w:ascii="Times New Roman" w:eastAsia="Times New Roman" w:hAnsi="Times New Roman" w:cs="Times New Roman"/>
          <w:color w:val="000000"/>
          <w:sz w:val="24"/>
          <w:szCs w:val="24"/>
        </w:rPr>
        <w:t xml:space="preserve"> Cost-</w:t>
      </w:r>
      <w:r w:rsidR="00714374" w:rsidRPr="00122CC5">
        <w:rPr>
          <w:rFonts w:ascii="Times New Roman" w:eastAsia="Times New Roman" w:hAnsi="Times New Roman" w:cs="Times New Roman"/>
          <w:color w:val="000000"/>
          <w:sz w:val="24"/>
          <w:szCs w:val="24"/>
        </w:rPr>
        <w:t>Effectiveness</w:t>
      </w:r>
      <w:r w:rsidR="00286BD8" w:rsidRPr="00122CC5">
        <w:rPr>
          <w:rFonts w:ascii="Times New Roman" w:eastAsia="Times New Roman" w:hAnsi="Times New Roman" w:cs="Times New Roman"/>
          <w:color w:val="000000"/>
          <w:sz w:val="24"/>
          <w:szCs w:val="24"/>
        </w:rPr>
        <w:t xml:space="preserve"> results.  It</w:t>
      </w:r>
      <w:r w:rsidRPr="00122CC5">
        <w:rPr>
          <w:rFonts w:ascii="Times New Roman" w:eastAsia="Times New Roman" w:hAnsi="Times New Roman" w:cs="Times New Roman"/>
          <w:color w:val="000000"/>
          <w:sz w:val="24"/>
          <w:szCs w:val="24"/>
        </w:rPr>
        <w:t xml:space="preserve"> is SCE’s </w:t>
      </w:r>
      <w:r w:rsidR="0035680A" w:rsidRPr="00122CC5">
        <w:rPr>
          <w:rFonts w:ascii="Times New Roman" w:eastAsia="Times New Roman" w:hAnsi="Times New Roman" w:cs="Times New Roman"/>
          <w:color w:val="000000"/>
          <w:sz w:val="24"/>
          <w:szCs w:val="24"/>
        </w:rPr>
        <w:t>understanding that</w:t>
      </w:r>
      <w:r w:rsidRPr="00122CC5">
        <w:rPr>
          <w:rFonts w:ascii="Times New Roman" w:eastAsia="Times New Roman" w:hAnsi="Times New Roman" w:cs="Times New Roman"/>
          <w:color w:val="000000"/>
          <w:sz w:val="24"/>
          <w:szCs w:val="24"/>
        </w:rPr>
        <w:t xml:space="preserve"> all IOU programs were </w:t>
      </w:r>
      <w:r w:rsidR="0035680A" w:rsidRPr="00122CC5">
        <w:rPr>
          <w:rFonts w:ascii="Times New Roman" w:eastAsia="Times New Roman" w:hAnsi="Times New Roman" w:cs="Times New Roman"/>
          <w:color w:val="000000"/>
          <w:sz w:val="24"/>
          <w:szCs w:val="24"/>
        </w:rPr>
        <w:t>estimated using</w:t>
      </w:r>
      <w:r w:rsidRPr="00122CC5">
        <w:rPr>
          <w:rFonts w:ascii="Times New Roman" w:eastAsia="Times New Roman" w:hAnsi="Times New Roman" w:cs="Times New Roman"/>
          <w:color w:val="000000"/>
          <w:sz w:val="24"/>
          <w:szCs w:val="24"/>
        </w:rPr>
        <w:t xml:space="preserve"> the same avoided cost and cost per KWh captured. SCE would like to request more information </w:t>
      </w:r>
      <w:r w:rsidR="00E75EDE">
        <w:rPr>
          <w:rFonts w:ascii="Times New Roman" w:eastAsia="Times New Roman" w:hAnsi="Times New Roman" w:cs="Times New Roman"/>
          <w:color w:val="000000"/>
          <w:sz w:val="24"/>
          <w:szCs w:val="24"/>
        </w:rPr>
        <w:t>on</w:t>
      </w:r>
      <w:r w:rsidRPr="00122CC5">
        <w:rPr>
          <w:rFonts w:ascii="Times New Roman" w:eastAsia="Times New Roman" w:hAnsi="Times New Roman" w:cs="Times New Roman"/>
          <w:color w:val="000000"/>
          <w:sz w:val="24"/>
          <w:szCs w:val="24"/>
        </w:rPr>
        <w:t xml:space="preserve"> how cost-</w:t>
      </w:r>
      <w:r w:rsidR="00714374" w:rsidRPr="00122CC5">
        <w:rPr>
          <w:rFonts w:ascii="Times New Roman" w:eastAsia="Times New Roman" w:hAnsi="Times New Roman" w:cs="Times New Roman"/>
          <w:color w:val="000000"/>
          <w:sz w:val="24"/>
          <w:szCs w:val="24"/>
        </w:rPr>
        <w:t>effectiveness</w:t>
      </w:r>
      <w:r w:rsidRPr="00122CC5">
        <w:rPr>
          <w:rFonts w:ascii="Times New Roman" w:eastAsia="Times New Roman" w:hAnsi="Times New Roman" w:cs="Times New Roman"/>
          <w:color w:val="000000"/>
          <w:sz w:val="24"/>
          <w:szCs w:val="24"/>
        </w:rPr>
        <w:t xml:space="preserve"> was calculated as SCE’s cost-</w:t>
      </w:r>
      <w:r w:rsidR="00714374" w:rsidRPr="00122CC5">
        <w:rPr>
          <w:rFonts w:ascii="Times New Roman" w:eastAsia="Times New Roman" w:hAnsi="Times New Roman" w:cs="Times New Roman"/>
          <w:color w:val="000000"/>
          <w:sz w:val="24"/>
          <w:szCs w:val="24"/>
        </w:rPr>
        <w:t>effectiveness</w:t>
      </w:r>
      <w:r w:rsidRPr="00122CC5">
        <w:rPr>
          <w:rFonts w:ascii="Times New Roman" w:eastAsia="Times New Roman" w:hAnsi="Times New Roman" w:cs="Times New Roman"/>
          <w:color w:val="000000"/>
          <w:sz w:val="24"/>
          <w:szCs w:val="24"/>
        </w:rPr>
        <w:t xml:space="preserve"> calculations are significantly above other IOU’s and, and in one instance </w:t>
      </w:r>
      <w:r w:rsidR="0035680A" w:rsidRPr="00122CC5">
        <w:rPr>
          <w:rFonts w:ascii="Times New Roman" w:eastAsia="Times New Roman" w:hAnsi="Times New Roman" w:cs="Times New Roman"/>
          <w:color w:val="000000"/>
          <w:sz w:val="24"/>
          <w:szCs w:val="24"/>
        </w:rPr>
        <w:t xml:space="preserve">almost </w:t>
      </w:r>
      <w:r w:rsidR="00883A3F" w:rsidRPr="00122CC5">
        <w:rPr>
          <w:rFonts w:ascii="Times New Roman" w:eastAsia="Times New Roman" w:hAnsi="Times New Roman" w:cs="Times New Roman"/>
          <w:color w:val="000000"/>
          <w:sz w:val="24"/>
          <w:szCs w:val="24"/>
        </w:rPr>
        <w:t>three</w:t>
      </w:r>
      <w:r w:rsidRPr="00122CC5">
        <w:rPr>
          <w:rFonts w:ascii="Times New Roman" w:eastAsia="Times New Roman" w:hAnsi="Times New Roman" w:cs="Times New Roman"/>
          <w:color w:val="000000"/>
          <w:sz w:val="24"/>
          <w:szCs w:val="24"/>
        </w:rPr>
        <w:t xml:space="preserve"> time higher</w:t>
      </w:r>
      <w:r w:rsidRPr="00714374">
        <w:rPr>
          <w:rFonts w:ascii="Times New Roman" w:eastAsia="Times New Roman" w:hAnsi="Times New Roman" w:cs="Times New Roman"/>
          <w:color w:val="000000"/>
          <w:sz w:val="24"/>
          <w:szCs w:val="24"/>
          <w:vertAlign w:val="superscript"/>
        </w:rPr>
        <w:footnoteReference w:id="2"/>
      </w:r>
      <w:r w:rsidRPr="00122CC5">
        <w:rPr>
          <w:rFonts w:ascii="Times New Roman" w:eastAsia="Times New Roman" w:hAnsi="Times New Roman" w:cs="Times New Roman"/>
          <w:color w:val="000000"/>
          <w:sz w:val="24"/>
          <w:szCs w:val="24"/>
        </w:rPr>
        <w:t>.  Thi</w:t>
      </w:r>
      <w:r w:rsidR="00FB7A2A" w:rsidRPr="00122CC5">
        <w:rPr>
          <w:rFonts w:ascii="Times New Roman" w:eastAsia="Times New Roman" w:hAnsi="Times New Roman" w:cs="Times New Roman"/>
          <w:color w:val="000000"/>
          <w:sz w:val="24"/>
          <w:szCs w:val="24"/>
        </w:rPr>
        <w:t xml:space="preserve">s </w:t>
      </w:r>
      <w:r w:rsidR="00714374" w:rsidRPr="00122CC5">
        <w:rPr>
          <w:rFonts w:ascii="Times New Roman" w:eastAsia="Times New Roman" w:hAnsi="Times New Roman" w:cs="Times New Roman"/>
          <w:color w:val="000000"/>
          <w:sz w:val="24"/>
          <w:szCs w:val="24"/>
        </w:rPr>
        <w:t>anomaly</w:t>
      </w:r>
      <w:r w:rsidR="00FB7A2A" w:rsidRPr="00122CC5">
        <w:rPr>
          <w:rFonts w:ascii="Times New Roman" w:eastAsia="Times New Roman" w:hAnsi="Times New Roman" w:cs="Times New Roman"/>
          <w:color w:val="000000"/>
          <w:sz w:val="24"/>
          <w:szCs w:val="24"/>
        </w:rPr>
        <w:t xml:space="preserve"> has the potential to</w:t>
      </w:r>
      <w:r w:rsidRPr="00122CC5">
        <w:rPr>
          <w:rFonts w:ascii="Times New Roman" w:eastAsia="Times New Roman" w:hAnsi="Times New Roman" w:cs="Times New Roman"/>
          <w:color w:val="000000"/>
          <w:sz w:val="24"/>
          <w:szCs w:val="24"/>
        </w:rPr>
        <w:t xml:space="preserve"> drastically inflate </w:t>
      </w:r>
      <w:r w:rsidR="00E75EDE">
        <w:rPr>
          <w:rFonts w:ascii="Times New Roman" w:eastAsia="Times New Roman" w:hAnsi="Times New Roman" w:cs="Times New Roman"/>
          <w:color w:val="000000"/>
          <w:sz w:val="24"/>
          <w:szCs w:val="24"/>
        </w:rPr>
        <w:t>SCE’s EE program goals</w:t>
      </w:r>
      <w:r w:rsidRPr="00122CC5">
        <w:rPr>
          <w:rFonts w:ascii="Times New Roman" w:eastAsia="Times New Roman" w:hAnsi="Times New Roman" w:cs="Times New Roman"/>
          <w:color w:val="000000"/>
          <w:sz w:val="24"/>
          <w:szCs w:val="24"/>
        </w:rPr>
        <w:t>, and warrant double checking, investigation and explanation</w:t>
      </w:r>
      <w:r w:rsidRPr="00714374">
        <w:rPr>
          <w:rFonts w:ascii="Times New Roman" w:eastAsia="Times New Roman" w:hAnsi="Times New Roman" w:cs="Times New Roman"/>
          <w:color w:val="000000"/>
          <w:sz w:val="24"/>
          <w:szCs w:val="24"/>
        </w:rPr>
        <w:t xml:space="preserve">.  </w:t>
      </w:r>
    </w:p>
    <w:p w:rsidR="000F6B2C" w:rsidRPr="00122CC5" w:rsidRDefault="000F6B2C" w:rsidP="00714374">
      <w:pPr>
        <w:pStyle w:val="Heading1"/>
        <w:numPr>
          <w:ilvl w:val="2"/>
          <w:numId w:val="1"/>
        </w:numPr>
        <w:spacing w:before="480"/>
        <w:ind w:left="180"/>
        <w:jc w:val="both"/>
        <w:rPr>
          <w:rFonts w:ascii="Times New Roman" w:hAnsi="Times New Roman" w:cs="Times New Roman"/>
        </w:rPr>
      </w:pPr>
      <w:r w:rsidRPr="00122CC5">
        <w:rPr>
          <w:rFonts w:ascii="Times New Roman" w:hAnsi="Times New Roman" w:cs="Times New Roman"/>
        </w:rPr>
        <w:t>Measure Inputs</w:t>
      </w:r>
      <w:r w:rsidR="00416040" w:rsidRPr="00122CC5">
        <w:rPr>
          <w:rFonts w:ascii="Times New Roman" w:hAnsi="Times New Roman" w:cs="Times New Roman"/>
        </w:rPr>
        <w:t>:</w:t>
      </w:r>
    </w:p>
    <w:p w:rsidR="000F6B2C" w:rsidRPr="00122CC5" w:rsidRDefault="00F10FBE" w:rsidP="00714374">
      <w:pPr>
        <w:pStyle w:val="Heading2"/>
        <w:jc w:val="both"/>
        <w:rPr>
          <w:rFonts w:ascii="Times New Roman" w:hAnsi="Times New Roman" w:cs="Times New Roman"/>
        </w:rPr>
      </w:pPr>
      <w:r w:rsidRPr="00122CC5">
        <w:rPr>
          <w:rFonts w:ascii="Times New Roman" w:hAnsi="Times New Roman" w:cs="Times New Roman"/>
        </w:rPr>
        <w:t xml:space="preserve">Home Energy Reports for Southern California Edison will increase. </w:t>
      </w:r>
      <w:r w:rsidR="000F6B2C" w:rsidRPr="00122CC5">
        <w:rPr>
          <w:rFonts w:ascii="Times New Roman" w:hAnsi="Times New Roman" w:cs="Times New Roman"/>
        </w:rPr>
        <w:t xml:space="preserve"> </w:t>
      </w:r>
    </w:p>
    <w:p w:rsidR="007F4B23" w:rsidRPr="00122CC5" w:rsidRDefault="007F4B23" w:rsidP="00714374">
      <w:pPr>
        <w:autoSpaceDE w:val="0"/>
        <w:autoSpaceDN w:val="0"/>
        <w:adjustRightInd w:val="0"/>
        <w:spacing w:before="3" w:after="0" w:line="360" w:lineRule="auto"/>
        <w:ind w:firstLine="274"/>
        <w:jc w:val="both"/>
        <w:rPr>
          <w:rFonts w:ascii="Times New Roman" w:hAnsi="Times New Roman" w:cs="Times New Roman"/>
          <w:sz w:val="24"/>
          <w:szCs w:val="24"/>
        </w:rPr>
      </w:pPr>
      <w:r w:rsidRPr="00122CC5">
        <w:rPr>
          <w:rFonts w:ascii="Times New Roman" w:hAnsi="Times New Roman" w:cs="Times New Roman"/>
          <w:sz w:val="24"/>
          <w:szCs w:val="24"/>
        </w:rPr>
        <w:t xml:space="preserve">SCE anticipates that </w:t>
      </w:r>
      <w:r w:rsidR="002009D7" w:rsidRPr="00122CC5">
        <w:rPr>
          <w:rFonts w:ascii="Times New Roman" w:hAnsi="Times New Roman" w:cs="Times New Roman"/>
          <w:sz w:val="24"/>
          <w:szCs w:val="24"/>
        </w:rPr>
        <w:t>the Home Energy Report Program</w:t>
      </w:r>
      <w:r w:rsidRPr="00122CC5">
        <w:rPr>
          <w:rFonts w:ascii="Times New Roman" w:hAnsi="Times New Roman" w:cs="Times New Roman"/>
          <w:sz w:val="24"/>
          <w:szCs w:val="24"/>
        </w:rPr>
        <w:t xml:space="preserve"> will exceed the market potential identified with the Home Energy Report in the draft BROs market Potential. </w:t>
      </w:r>
      <w:r w:rsidR="00F10FBE" w:rsidRPr="00122CC5">
        <w:rPr>
          <w:rFonts w:ascii="Times New Roman" w:hAnsi="Times New Roman" w:cs="Times New Roman"/>
          <w:sz w:val="24"/>
          <w:szCs w:val="24"/>
        </w:rPr>
        <w:t>HER’s</w:t>
      </w:r>
      <w:r w:rsidRPr="00122CC5">
        <w:rPr>
          <w:rFonts w:ascii="Times New Roman" w:hAnsi="Times New Roman" w:cs="Times New Roman"/>
          <w:sz w:val="24"/>
          <w:szCs w:val="24"/>
        </w:rPr>
        <w:t xml:space="preserve"> are being mailed to approximately</w:t>
      </w:r>
      <w:r w:rsidR="00F10FBE" w:rsidRPr="00122CC5">
        <w:rPr>
          <w:rFonts w:ascii="Times New Roman" w:hAnsi="Times New Roman" w:cs="Times New Roman"/>
          <w:sz w:val="24"/>
          <w:szCs w:val="24"/>
        </w:rPr>
        <w:t xml:space="preserve"> 17</w:t>
      </w:r>
      <w:r w:rsidRPr="00122CC5">
        <w:rPr>
          <w:rFonts w:ascii="Times New Roman" w:hAnsi="Times New Roman" w:cs="Times New Roman"/>
          <w:sz w:val="24"/>
          <w:szCs w:val="24"/>
        </w:rPr>
        <w:t xml:space="preserve">% of SCE residential customers and are anticipated to achieve 30+ GWh in 2017 and are reasonably likely to continue in 2018 and 2019. The increased </w:t>
      </w:r>
      <w:r w:rsidR="00B20775" w:rsidRPr="00122CC5">
        <w:rPr>
          <w:rFonts w:ascii="Times New Roman" w:hAnsi="Times New Roman" w:cs="Times New Roman"/>
          <w:sz w:val="24"/>
          <w:szCs w:val="24"/>
        </w:rPr>
        <w:t>penetration</w:t>
      </w:r>
      <w:r w:rsidRPr="00122CC5">
        <w:rPr>
          <w:rFonts w:ascii="Times New Roman" w:hAnsi="Times New Roman" w:cs="Times New Roman"/>
          <w:sz w:val="24"/>
          <w:szCs w:val="24"/>
        </w:rPr>
        <w:t xml:space="preserve"> </w:t>
      </w:r>
      <w:r w:rsidRPr="00122CC5">
        <w:rPr>
          <w:rFonts w:ascii="Times New Roman" w:hAnsi="Times New Roman" w:cs="Times New Roman"/>
          <w:sz w:val="24"/>
          <w:szCs w:val="24"/>
        </w:rPr>
        <w:lastRenderedPageBreak/>
        <w:t>rate, however, should be evaluated for sustainability o</w:t>
      </w:r>
      <w:r w:rsidR="00B20775" w:rsidRPr="00122CC5">
        <w:rPr>
          <w:rFonts w:ascii="Times New Roman" w:hAnsi="Times New Roman" w:cs="Times New Roman"/>
          <w:sz w:val="24"/>
          <w:szCs w:val="24"/>
        </w:rPr>
        <w:t>ver</w:t>
      </w:r>
      <w:r w:rsidRPr="00122CC5">
        <w:rPr>
          <w:rFonts w:ascii="Times New Roman" w:hAnsi="Times New Roman" w:cs="Times New Roman"/>
          <w:sz w:val="24"/>
          <w:szCs w:val="24"/>
        </w:rPr>
        <w:t xml:space="preserve"> the long term as utilities reach saturation of high potential and cost-effective savings. </w:t>
      </w:r>
      <w:r w:rsidR="00B20775" w:rsidRPr="00122CC5">
        <w:rPr>
          <w:rFonts w:ascii="Times New Roman" w:hAnsi="Times New Roman" w:cs="Times New Roman"/>
          <w:sz w:val="24"/>
          <w:szCs w:val="24"/>
        </w:rPr>
        <w:t>It is anticipated that under current R</w:t>
      </w:r>
      <w:r w:rsidR="00DF518E" w:rsidRPr="00122CC5">
        <w:rPr>
          <w:rFonts w:ascii="Times New Roman" w:hAnsi="Times New Roman" w:cs="Times New Roman"/>
          <w:sz w:val="24"/>
          <w:szCs w:val="24"/>
        </w:rPr>
        <w:t xml:space="preserve">andomized </w:t>
      </w:r>
      <w:r w:rsidR="00B20775" w:rsidRPr="00122CC5">
        <w:rPr>
          <w:rFonts w:ascii="Times New Roman" w:hAnsi="Times New Roman" w:cs="Times New Roman"/>
          <w:sz w:val="24"/>
          <w:szCs w:val="24"/>
        </w:rPr>
        <w:t>C</w:t>
      </w:r>
      <w:r w:rsidR="00DF518E" w:rsidRPr="00122CC5">
        <w:rPr>
          <w:rFonts w:ascii="Times New Roman" w:hAnsi="Times New Roman" w:cs="Times New Roman"/>
          <w:sz w:val="24"/>
          <w:szCs w:val="24"/>
        </w:rPr>
        <w:t xml:space="preserve">ontrol </w:t>
      </w:r>
      <w:r w:rsidR="00B20775" w:rsidRPr="00122CC5">
        <w:rPr>
          <w:rFonts w:ascii="Times New Roman" w:hAnsi="Times New Roman" w:cs="Times New Roman"/>
          <w:sz w:val="24"/>
          <w:szCs w:val="24"/>
        </w:rPr>
        <w:t>T</w:t>
      </w:r>
      <w:r w:rsidR="00DF518E" w:rsidRPr="00122CC5">
        <w:rPr>
          <w:rFonts w:ascii="Times New Roman" w:hAnsi="Times New Roman" w:cs="Times New Roman"/>
          <w:sz w:val="24"/>
          <w:szCs w:val="24"/>
        </w:rPr>
        <w:t>rial</w:t>
      </w:r>
      <w:r w:rsidR="00B20775" w:rsidRPr="00122CC5">
        <w:rPr>
          <w:rFonts w:ascii="Times New Roman" w:hAnsi="Times New Roman" w:cs="Times New Roman"/>
          <w:sz w:val="24"/>
          <w:szCs w:val="24"/>
        </w:rPr>
        <w:t xml:space="preserve"> designs not all customers are eligible to participate and that homes with less savings potential are likely to decrease UES over a greater population over time. (</w:t>
      </w:r>
      <w:proofErr w:type="gramStart"/>
      <w:r w:rsidR="00B20775" w:rsidRPr="00122CC5">
        <w:rPr>
          <w:rFonts w:ascii="Times New Roman" w:hAnsi="Times New Roman" w:cs="Times New Roman"/>
          <w:sz w:val="24"/>
          <w:szCs w:val="24"/>
        </w:rPr>
        <w:t>i.e</w:t>
      </w:r>
      <w:proofErr w:type="gramEnd"/>
      <w:r w:rsidR="00B20775" w:rsidRPr="00122CC5">
        <w:rPr>
          <w:rFonts w:ascii="Times New Roman" w:hAnsi="Times New Roman" w:cs="Times New Roman"/>
          <w:sz w:val="24"/>
          <w:szCs w:val="24"/>
        </w:rPr>
        <w:t>. 25% of customers will have a 2% savings but the next round of customers may only realize 1%.)</w:t>
      </w:r>
      <w:r w:rsidR="00DD735E" w:rsidRPr="00122CC5">
        <w:rPr>
          <w:rFonts w:ascii="Times New Roman" w:hAnsi="Times New Roman" w:cs="Times New Roman"/>
          <w:sz w:val="24"/>
          <w:szCs w:val="24"/>
        </w:rPr>
        <w:t xml:space="preserve">  SCE’s 2016 HER program captured 65kWh per treatment.</w:t>
      </w:r>
    </w:p>
    <w:p w:rsidR="00F10FBE" w:rsidRPr="00122CC5" w:rsidRDefault="007F4B23" w:rsidP="00714374">
      <w:pPr>
        <w:autoSpaceDE w:val="0"/>
        <w:autoSpaceDN w:val="0"/>
        <w:adjustRightInd w:val="0"/>
        <w:spacing w:before="3" w:after="0" w:line="360" w:lineRule="auto"/>
        <w:ind w:firstLine="274"/>
        <w:jc w:val="both"/>
        <w:rPr>
          <w:rFonts w:ascii="Times New Roman" w:hAnsi="Times New Roman" w:cs="Times New Roman"/>
          <w:sz w:val="24"/>
          <w:szCs w:val="24"/>
        </w:rPr>
      </w:pPr>
      <w:r w:rsidRPr="00122CC5">
        <w:rPr>
          <w:rFonts w:ascii="Times New Roman" w:hAnsi="Times New Roman" w:cs="Times New Roman"/>
          <w:sz w:val="24"/>
          <w:szCs w:val="24"/>
        </w:rPr>
        <w:t xml:space="preserve"> </w:t>
      </w:r>
      <w:r w:rsidR="00286BD8" w:rsidRPr="00122CC5">
        <w:rPr>
          <w:rFonts w:ascii="Times New Roman" w:hAnsi="Times New Roman" w:cs="Times New Roman"/>
          <w:sz w:val="24"/>
          <w:szCs w:val="24"/>
        </w:rPr>
        <w:tab/>
      </w:r>
      <w:r w:rsidRPr="00122CC5">
        <w:rPr>
          <w:rFonts w:ascii="Times New Roman" w:hAnsi="Times New Roman" w:cs="Times New Roman"/>
          <w:sz w:val="24"/>
          <w:szCs w:val="24"/>
        </w:rPr>
        <w:t xml:space="preserve">SCE recommends a closer evaluation of the inputs to better align penetration rates, unit energy savings and peak to energy ratio to ensure programmatic alignment. </w:t>
      </w:r>
    </w:p>
    <w:p w:rsidR="00F10FBE" w:rsidRPr="00122CC5" w:rsidRDefault="00F10FBE" w:rsidP="00714374">
      <w:pPr>
        <w:pStyle w:val="Heading2"/>
        <w:jc w:val="both"/>
        <w:rPr>
          <w:rFonts w:ascii="Times New Roman" w:hAnsi="Times New Roman" w:cs="Times New Roman"/>
        </w:rPr>
      </w:pPr>
      <w:r w:rsidRPr="00122CC5">
        <w:rPr>
          <w:rFonts w:ascii="Times New Roman" w:hAnsi="Times New Roman" w:cs="Times New Roman"/>
        </w:rPr>
        <w:t>Web-Real Time Feedback:</w:t>
      </w:r>
    </w:p>
    <w:p w:rsidR="003B06CE" w:rsidRPr="00122CC5" w:rsidRDefault="00E92256" w:rsidP="00714374">
      <w:pPr>
        <w:autoSpaceDE w:val="0"/>
        <w:autoSpaceDN w:val="0"/>
        <w:adjustRightInd w:val="0"/>
        <w:spacing w:before="3" w:after="0" w:line="360" w:lineRule="auto"/>
        <w:ind w:firstLine="274"/>
        <w:jc w:val="both"/>
        <w:rPr>
          <w:rFonts w:ascii="Times New Roman" w:hAnsi="Times New Roman" w:cs="Times New Roman"/>
          <w:sz w:val="24"/>
          <w:szCs w:val="24"/>
        </w:rPr>
      </w:pPr>
      <w:r w:rsidRPr="00122CC5">
        <w:rPr>
          <w:rFonts w:ascii="Times New Roman" w:hAnsi="Times New Roman" w:cs="Times New Roman"/>
          <w:sz w:val="24"/>
          <w:szCs w:val="24"/>
        </w:rPr>
        <w:t>SCE believes that web-real time feedback</w:t>
      </w:r>
      <w:r w:rsidR="00DD735E" w:rsidRPr="00122CC5">
        <w:rPr>
          <w:rFonts w:ascii="Times New Roman" w:hAnsi="Times New Roman" w:cs="Times New Roman"/>
          <w:sz w:val="24"/>
          <w:szCs w:val="24"/>
        </w:rPr>
        <w:t xml:space="preserve"> savings</w:t>
      </w:r>
      <w:r w:rsidRPr="00122CC5">
        <w:rPr>
          <w:rFonts w:ascii="Times New Roman" w:hAnsi="Times New Roman" w:cs="Times New Roman"/>
          <w:sz w:val="24"/>
          <w:szCs w:val="24"/>
        </w:rPr>
        <w:t xml:space="preserve"> </w:t>
      </w:r>
      <w:r w:rsidR="00883A3F" w:rsidRPr="00122CC5">
        <w:rPr>
          <w:rFonts w:ascii="Times New Roman" w:hAnsi="Times New Roman" w:cs="Times New Roman"/>
          <w:sz w:val="24"/>
          <w:szCs w:val="24"/>
        </w:rPr>
        <w:t>are</w:t>
      </w:r>
      <w:r w:rsidRPr="00122CC5">
        <w:rPr>
          <w:rFonts w:ascii="Times New Roman" w:hAnsi="Times New Roman" w:cs="Times New Roman"/>
          <w:sz w:val="24"/>
          <w:szCs w:val="24"/>
        </w:rPr>
        <w:t xml:space="preserve"> overstated. SCE </w:t>
      </w:r>
      <w:r w:rsidR="00DD735E" w:rsidRPr="00122CC5">
        <w:rPr>
          <w:rFonts w:ascii="Times New Roman" w:hAnsi="Times New Roman" w:cs="Times New Roman"/>
          <w:sz w:val="24"/>
          <w:szCs w:val="24"/>
        </w:rPr>
        <w:t xml:space="preserve">is </w:t>
      </w:r>
      <w:r w:rsidRPr="00122CC5">
        <w:rPr>
          <w:rFonts w:ascii="Times New Roman" w:hAnsi="Times New Roman" w:cs="Times New Roman"/>
          <w:sz w:val="24"/>
          <w:szCs w:val="24"/>
        </w:rPr>
        <w:t xml:space="preserve">currently in the process of developing pilots and programs to test the viability of these offerings.  </w:t>
      </w:r>
      <w:r w:rsidR="00416040" w:rsidRPr="00122CC5">
        <w:rPr>
          <w:rFonts w:ascii="Times New Roman" w:hAnsi="Times New Roman" w:cs="Times New Roman"/>
          <w:sz w:val="24"/>
          <w:szCs w:val="24"/>
        </w:rPr>
        <w:t>Pilots</w:t>
      </w:r>
      <w:r w:rsidR="00DF518E" w:rsidRPr="00122CC5">
        <w:rPr>
          <w:rFonts w:ascii="Times New Roman" w:hAnsi="Times New Roman" w:cs="Times New Roman"/>
          <w:sz w:val="24"/>
          <w:szCs w:val="24"/>
        </w:rPr>
        <w:t xml:space="preserve"> for o</w:t>
      </w:r>
      <w:r w:rsidR="002B3D32" w:rsidRPr="00122CC5">
        <w:rPr>
          <w:rFonts w:ascii="Times New Roman" w:hAnsi="Times New Roman" w:cs="Times New Roman"/>
          <w:sz w:val="24"/>
          <w:szCs w:val="24"/>
        </w:rPr>
        <w:t>fferings based on</w:t>
      </w:r>
      <w:r w:rsidR="00695A69" w:rsidRPr="00122CC5">
        <w:rPr>
          <w:rFonts w:ascii="Times New Roman" w:hAnsi="Times New Roman" w:cs="Times New Roman"/>
          <w:sz w:val="24"/>
          <w:szCs w:val="24"/>
        </w:rPr>
        <w:t xml:space="preserve"> potential solutions such </w:t>
      </w:r>
      <w:r w:rsidR="002B3D32" w:rsidRPr="00122CC5">
        <w:rPr>
          <w:rFonts w:ascii="Times New Roman" w:hAnsi="Times New Roman" w:cs="Times New Roman"/>
          <w:sz w:val="24"/>
          <w:szCs w:val="24"/>
        </w:rPr>
        <w:t xml:space="preserve">still have time </w:t>
      </w:r>
      <w:r w:rsidR="00DF518E" w:rsidRPr="00122CC5">
        <w:rPr>
          <w:rFonts w:ascii="Times New Roman" w:hAnsi="Times New Roman" w:cs="Times New Roman"/>
          <w:sz w:val="24"/>
          <w:szCs w:val="24"/>
        </w:rPr>
        <w:t xml:space="preserve">and processes to work through </w:t>
      </w:r>
      <w:r w:rsidR="002B3D32" w:rsidRPr="00122CC5">
        <w:rPr>
          <w:rFonts w:ascii="Times New Roman" w:hAnsi="Times New Roman" w:cs="Times New Roman"/>
          <w:sz w:val="24"/>
          <w:szCs w:val="24"/>
        </w:rPr>
        <w:t xml:space="preserve">before </w:t>
      </w:r>
      <w:r w:rsidR="00DF518E" w:rsidRPr="00122CC5">
        <w:rPr>
          <w:rFonts w:ascii="Times New Roman" w:hAnsi="Times New Roman" w:cs="Times New Roman"/>
          <w:sz w:val="24"/>
          <w:szCs w:val="24"/>
        </w:rPr>
        <w:t>they are</w:t>
      </w:r>
      <w:r w:rsidR="002B3D32" w:rsidRPr="00122CC5">
        <w:rPr>
          <w:rFonts w:ascii="Times New Roman" w:hAnsi="Times New Roman" w:cs="Times New Roman"/>
          <w:sz w:val="24"/>
          <w:szCs w:val="24"/>
        </w:rPr>
        <w:t xml:space="preserve"> </w:t>
      </w:r>
      <w:r w:rsidR="00E231E7" w:rsidRPr="00122CC5">
        <w:rPr>
          <w:rFonts w:ascii="Times New Roman" w:hAnsi="Times New Roman" w:cs="Times New Roman"/>
          <w:sz w:val="24"/>
          <w:szCs w:val="24"/>
        </w:rPr>
        <w:t>eligible</w:t>
      </w:r>
      <w:r w:rsidR="002B3D32" w:rsidRPr="00122CC5">
        <w:rPr>
          <w:rFonts w:ascii="Times New Roman" w:hAnsi="Times New Roman" w:cs="Times New Roman"/>
          <w:sz w:val="24"/>
          <w:szCs w:val="24"/>
        </w:rPr>
        <w:t xml:space="preserve"> to claim savings and determine the cost-effectiveness of the approach</w:t>
      </w:r>
      <w:r w:rsidR="00F10FBE" w:rsidRPr="00122CC5">
        <w:rPr>
          <w:rFonts w:ascii="Times New Roman" w:hAnsi="Times New Roman" w:cs="Times New Roman"/>
          <w:sz w:val="24"/>
          <w:szCs w:val="24"/>
        </w:rPr>
        <w:t xml:space="preserve">. </w:t>
      </w:r>
      <w:r w:rsidR="002B3D32" w:rsidRPr="00122CC5">
        <w:rPr>
          <w:rFonts w:ascii="Times New Roman" w:hAnsi="Times New Roman" w:cs="Times New Roman"/>
          <w:sz w:val="24"/>
          <w:szCs w:val="24"/>
        </w:rPr>
        <w:t xml:space="preserve">SCE is beginning the process </w:t>
      </w:r>
      <w:r w:rsidR="003B06CE" w:rsidRPr="00122CC5">
        <w:rPr>
          <w:rFonts w:ascii="Times New Roman" w:hAnsi="Times New Roman" w:cs="Times New Roman"/>
          <w:sz w:val="24"/>
          <w:szCs w:val="24"/>
        </w:rPr>
        <w:t>of conducting</w:t>
      </w:r>
      <w:r w:rsidR="00DF518E" w:rsidRPr="00122CC5">
        <w:rPr>
          <w:rFonts w:ascii="Times New Roman" w:hAnsi="Times New Roman" w:cs="Times New Roman"/>
          <w:sz w:val="24"/>
          <w:szCs w:val="24"/>
        </w:rPr>
        <w:t xml:space="preserve"> multiple</w:t>
      </w:r>
      <w:r w:rsidR="003B06CE" w:rsidRPr="00122CC5">
        <w:rPr>
          <w:rFonts w:ascii="Times New Roman" w:hAnsi="Times New Roman" w:cs="Times New Roman"/>
          <w:sz w:val="24"/>
          <w:szCs w:val="24"/>
        </w:rPr>
        <w:t xml:space="preserve"> pilots to assess claimable savings </w:t>
      </w:r>
      <w:r w:rsidR="00DF518E" w:rsidRPr="00122CC5">
        <w:rPr>
          <w:rFonts w:ascii="Times New Roman" w:hAnsi="Times New Roman" w:cs="Times New Roman"/>
          <w:sz w:val="24"/>
          <w:szCs w:val="24"/>
        </w:rPr>
        <w:t>potential for feedback based approached. Activities include:</w:t>
      </w:r>
    </w:p>
    <w:p w:rsidR="003B06CE" w:rsidRPr="00122CC5" w:rsidRDefault="003B06CE" w:rsidP="00714374">
      <w:pPr>
        <w:pStyle w:val="ListParagraph"/>
        <w:numPr>
          <w:ilvl w:val="0"/>
          <w:numId w:val="9"/>
        </w:numPr>
        <w:autoSpaceDE w:val="0"/>
        <w:autoSpaceDN w:val="0"/>
        <w:adjustRightInd w:val="0"/>
        <w:spacing w:before="3" w:after="0" w:line="360" w:lineRule="auto"/>
        <w:ind w:hanging="270"/>
        <w:contextualSpacing w:val="0"/>
        <w:jc w:val="both"/>
        <w:rPr>
          <w:rFonts w:ascii="Times New Roman" w:hAnsi="Times New Roman" w:cs="Times New Roman"/>
          <w:sz w:val="24"/>
          <w:szCs w:val="24"/>
        </w:rPr>
      </w:pPr>
      <w:r w:rsidRPr="00122CC5">
        <w:rPr>
          <w:rFonts w:ascii="Times New Roman" w:hAnsi="Times New Roman" w:cs="Times New Roman"/>
          <w:sz w:val="24"/>
          <w:szCs w:val="24"/>
        </w:rPr>
        <w:t>Enhanced Energy Advisor Tool (EEAT) (aka audit tool) still have time before it is eligible to claim savings and determine the cost-effectiveness of the approach</w:t>
      </w:r>
      <w:r w:rsidR="00883A3F" w:rsidRPr="00122CC5">
        <w:rPr>
          <w:rFonts w:ascii="Times New Roman" w:hAnsi="Times New Roman" w:cs="Times New Roman"/>
          <w:sz w:val="24"/>
          <w:szCs w:val="24"/>
        </w:rPr>
        <w:t xml:space="preserve">. These efforts are likely to remain uncertain until 2109 of 2020. </w:t>
      </w:r>
    </w:p>
    <w:p w:rsidR="003B06CE" w:rsidRPr="00122CC5" w:rsidRDefault="0070329B" w:rsidP="00714374">
      <w:pPr>
        <w:pStyle w:val="ListParagraph"/>
        <w:numPr>
          <w:ilvl w:val="0"/>
          <w:numId w:val="9"/>
        </w:numPr>
        <w:tabs>
          <w:tab w:val="left" w:pos="720"/>
        </w:tabs>
        <w:autoSpaceDE w:val="0"/>
        <w:autoSpaceDN w:val="0"/>
        <w:adjustRightInd w:val="0"/>
        <w:spacing w:before="3" w:after="0" w:line="360" w:lineRule="auto"/>
        <w:ind w:hanging="270"/>
        <w:contextualSpacing w:val="0"/>
        <w:jc w:val="both"/>
        <w:rPr>
          <w:rFonts w:ascii="Times New Roman" w:hAnsi="Times New Roman" w:cs="Times New Roman"/>
          <w:sz w:val="24"/>
          <w:szCs w:val="24"/>
        </w:rPr>
      </w:pPr>
      <w:r w:rsidRPr="00122CC5">
        <w:rPr>
          <w:rFonts w:ascii="Times New Roman" w:hAnsi="Times New Roman" w:cs="Times New Roman"/>
          <w:sz w:val="24"/>
          <w:szCs w:val="24"/>
        </w:rPr>
        <w:t>Points and Rewards Pilot</w:t>
      </w:r>
      <w:r w:rsidR="00692684" w:rsidRPr="00122CC5">
        <w:rPr>
          <w:rFonts w:ascii="Times New Roman" w:hAnsi="Times New Roman" w:cs="Times New Roman"/>
          <w:sz w:val="24"/>
          <w:szCs w:val="24"/>
        </w:rPr>
        <w:t xml:space="preserve"> feedback program</w:t>
      </w:r>
      <w:r w:rsidRPr="00122CC5">
        <w:rPr>
          <w:rFonts w:ascii="Times New Roman" w:hAnsi="Times New Roman" w:cs="Times New Roman"/>
          <w:sz w:val="24"/>
          <w:szCs w:val="24"/>
        </w:rPr>
        <w:t xml:space="preserve"> that will </w:t>
      </w:r>
      <w:r w:rsidR="00692684" w:rsidRPr="00122CC5">
        <w:rPr>
          <w:rFonts w:ascii="Times New Roman" w:hAnsi="Times New Roman" w:cs="Times New Roman"/>
          <w:sz w:val="24"/>
          <w:szCs w:val="24"/>
        </w:rPr>
        <w:t>target</w:t>
      </w:r>
      <w:r w:rsidRPr="00122CC5">
        <w:rPr>
          <w:rFonts w:ascii="Times New Roman" w:hAnsi="Times New Roman" w:cs="Times New Roman"/>
          <w:sz w:val="24"/>
          <w:szCs w:val="24"/>
        </w:rPr>
        <w:t xml:space="preserve"> 60,000 customers</w:t>
      </w:r>
      <w:r w:rsidR="00692684" w:rsidRPr="00122CC5">
        <w:rPr>
          <w:rFonts w:ascii="Times New Roman" w:hAnsi="Times New Roman" w:cs="Times New Roman"/>
          <w:sz w:val="24"/>
          <w:szCs w:val="24"/>
        </w:rPr>
        <w:t xml:space="preserve"> with an anticipated participation rate of 3-4%</w:t>
      </w:r>
      <w:r w:rsidRPr="00122CC5">
        <w:rPr>
          <w:rFonts w:ascii="Times New Roman" w:hAnsi="Times New Roman" w:cs="Times New Roman"/>
          <w:sz w:val="24"/>
          <w:szCs w:val="24"/>
        </w:rPr>
        <w:t xml:space="preserve"> which will help inform cost-effectiveness and scalability for these interventions. The results for this pilot are also not expected until </w:t>
      </w:r>
      <w:r w:rsidR="00692684" w:rsidRPr="00122CC5">
        <w:rPr>
          <w:rFonts w:ascii="Times New Roman" w:hAnsi="Times New Roman" w:cs="Times New Roman"/>
          <w:sz w:val="24"/>
          <w:szCs w:val="24"/>
        </w:rPr>
        <w:t xml:space="preserve">2019 at the earliest. </w:t>
      </w:r>
    </w:p>
    <w:p w:rsidR="00695A69" w:rsidRPr="00122CC5" w:rsidRDefault="00692684" w:rsidP="00714374">
      <w:pPr>
        <w:pStyle w:val="ListParagraph"/>
        <w:numPr>
          <w:ilvl w:val="0"/>
          <w:numId w:val="9"/>
        </w:numPr>
        <w:tabs>
          <w:tab w:val="left" w:pos="1080"/>
          <w:tab w:val="left" w:pos="1530"/>
        </w:tabs>
        <w:autoSpaceDE w:val="0"/>
        <w:autoSpaceDN w:val="0"/>
        <w:adjustRightInd w:val="0"/>
        <w:spacing w:before="3" w:after="0" w:line="360" w:lineRule="auto"/>
        <w:ind w:hanging="270"/>
        <w:contextualSpacing w:val="0"/>
        <w:jc w:val="both"/>
        <w:rPr>
          <w:rFonts w:ascii="Times New Roman" w:hAnsi="Times New Roman" w:cs="Times New Roman"/>
          <w:sz w:val="24"/>
          <w:szCs w:val="24"/>
        </w:rPr>
      </w:pPr>
      <w:r w:rsidRPr="00122CC5">
        <w:rPr>
          <w:rFonts w:ascii="Times New Roman" w:hAnsi="Times New Roman" w:cs="Times New Roman"/>
          <w:sz w:val="24"/>
          <w:szCs w:val="24"/>
        </w:rPr>
        <w:t>The draft market potential for the web real-time begins in 2018 and expects a 10% penetration rate, both of which are not reasonably likely to occur.</w:t>
      </w:r>
      <w:r w:rsidR="002E404D" w:rsidRPr="00122CC5">
        <w:rPr>
          <w:rFonts w:ascii="Times New Roman" w:hAnsi="Times New Roman" w:cs="Times New Roman"/>
          <w:sz w:val="24"/>
          <w:szCs w:val="24"/>
        </w:rPr>
        <w:t xml:space="preserve"> </w:t>
      </w:r>
      <w:r w:rsidRPr="00122CC5">
        <w:rPr>
          <w:rFonts w:ascii="Times New Roman" w:hAnsi="Times New Roman" w:cs="Times New Roman"/>
          <w:sz w:val="24"/>
          <w:szCs w:val="24"/>
        </w:rPr>
        <w:t xml:space="preserve">Furthermore, alternative and </w:t>
      </w:r>
      <w:r w:rsidR="00E329B6" w:rsidRPr="00122CC5">
        <w:rPr>
          <w:rFonts w:ascii="Times New Roman" w:hAnsi="Times New Roman" w:cs="Times New Roman"/>
          <w:sz w:val="24"/>
          <w:szCs w:val="24"/>
        </w:rPr>
        <w:t>relevant examples of web/real time feedback offerings will be informed by potential offerings developed as a part of AB793</w:t>
      </w:r>
      <w:r w:rsidRPr="00122CC5">
        <w:rPr>
          <w:rFonts w:ascii="Times New Roman" w:hAnsi="Times New Roman" w:cs="Times New Roman"/>
          <w:sz w:val="24"/>
          <w:szCs w:val="24"/>
        </w:rPr>
        <w:t>’s</w:t>
      </w:r>
      <w:r w:rsidR="00E329B6" w:rsidRPr="00122CC5">
        <w:rPr>
          <w:rFonts w:ascii="Times New Roman" w:hAnsi="Times New Roman" w:cs="Times New Roman"/>
          <w:sz w:val="24"/>
          <w:szCs w:val="24"/>
        </w:rPr>
        <w:t xml:space="preserve"> associated pilots which </w:t>
      </w:r>
      <w:r w:rsidR="0070329B" w:rsidRPr="00122CC5">
        <w:rPr>
          <w:rFonts w:ascii="Times New Roman" w:hAnsi="Times New Roman" w:cs="Times New Roman"/>
          <w:sz w:val="24"/>
          <w:szCs w:val="24"/>
        </w:rPr>
        <w:t xml:space="preserve">will require the development of </w:t>
      </w:r>
      <w:r w:rsidR="00E329B6" w:rsidRPr="00122CC5">
        <w:rPr>
          <w:rFonts w:ascii="Times New Roman" w:hAnsi="Times New Roman" w:cs="Times New Roman"/>
          <w:sz w:val="24"/>
          <w:szCs w:val="24"/>
        </w:rPr>
        <w:t xml:space="preserve">performance related programs revolving around </w:t>
      </w:r>
      <w:r w:rsidR="0070329B" w:rsidRPr="00122CC5">
        <w:rPr>
          <w:rFonts w:ascii="Times New Roman" w:hAnsi="Times New Roman" w:cs="Times New Roman"/>
          <w:sz w:val="24"/>
          <w:szCs w:val="24"/>
        </w:rPr>
        <w:t>w</w:t>
      </w:r>
      <w:r w:rsidR="00E329B6" w:rsidRPr="00122CC5">
        <w:rPr>
          <w:rFonts w:ascii="Times New Roman" w:hAnsi="Times New Roman" w:cs="Times New Roman"/>
          <w:sz w:val="24"/>
          <w:szCs w:val="24"/>
        </w:rPr>
        <w:t xml:space="preserve">eb based </w:t>
      </w:r>
      <w:r w:rsidR="0070329B" w:rsidRPr="00122CC5">
        <w:rPr>
          <w:rFonts w:ascii="Times New Roman" w:hAnsi="Times New Roman" w:cs="Times New Roman"/>
          <w:sz w:val="24"/>
          <w:szCs w:val="24"/>
        </w:rPr>
        <w:t xml:space="preserve">feedback </w:t>
      </w:r>
      <w:r w:rsidR="00E329B6" w:rsidRPr="00122CC5">
        <w:rPr>
          <w:rFonts w:ascii="Times New Roman" w:hAnsi="Times New Roman" w:cs="Times New Roman"/>
          <w:sz w:val="24"/>
          <w:szCs w:val="24"/>
        </w:rPr>
        <w:t>and IHD offerings. These programs are mandated to be launched by</w:t>
      </w:r>
      <w:r w:rsidR="0070329B" w:rsidRPr="00122CC5">
        <w:rPr>
          <w:rFonts w:ascii="Times New Roman" w:hAnsi="Times New Roman" w:cs="Times New Roman"/>
          <w:sz w:val="24"/>
          <w:szCs w:val="24"/>
        </w:rPr>
        <w:t xml:space="preserve"> Q4 of 2017 and also require a</w:t>
      </w:r>
      <w:r w:rsidRPr="00122CC5">
        <w:rPr>
          <w:rFonts w:ascii="Times New Roman" w:hAnsi="Times New Roman" w:cs="Times New Roman"/>
          <w:sz w:val="24"/>
          <w:szCs w:val="24"/>
        </w:rPr>
        <w:t xml:space="preserve"> </w:t>
      </w:r>
      <w:r w:rsidR="00E329B6" w:rsidRPr="00122CC5">
        <w:rPr>
          <w:rFonts w:ascii="Times New Roman" w:hAnsi="Times New Roman" w:cs="Times New Roman"/>
          <w:sz w:val="24"/>
          <w:szCs w:val="24"/>
        </w:rPr>
        <w:t>12 month ex-post evaluation</w:t>
      </w:r>
      <w:r w:rsidR="0070329B" w:rsidRPr="00122CC5">
        <w:rPr>
          <w:rFonts w:ascii="Times New Roman" w:hAnsi="Times New Roman" w:cs="Times New Roman"/>
          <w:sz w:val="24"/>
          <w:szCs w:val="24"/>
        </w:rPr>
        <w:t xml:space="preserve"> push</w:t>
      </w:r>
      <w:r w:rsidRPr="00122CC5">
        <w:rPr>
          <w:rFonts w:ascii="Times New Roman" w:hAnsi="Times New Roman" w:cs="Times New Roman"/>
          <w:sz w:val="24"/>
          <w:szCs w:val="24"/>
        </w:rPr>
        <w:t>ing claimable savings into 2019 and also</w:t>
      </w:r>
      <w:r w:rsidR="0070329B" w:rsidRPr="00122CC5">
        <w:rPr>
          <w:rFonts w:ascii="Times New Roman" w:hAnsi="Times New Roman" w:cs="Times New Roman"/>
          <w:sz w:val="24"/>
          <w:szCs w:val="24"/>
        </w:rPr>
        <w:t xml:space="preserve"> at a pilot scale. </w:t>
      </w:r>
      <w:r w:rsidR="00DF518E" w:rsidRPr="00122CC5">
        <w:rPr>
          <w:rFonts w:ascii="Times New Roman" w:hAnsi="Times New Roman" w:cs="Times New Roman"/>
          <w:sz w:val="24"/>
          <w:szCs w:val="24"/>
        </w:rPr>
        <w:t xml:space="preserve"> </w:t>
      </w:r>
    </w:p>
    <w:p w:rsidR="000F6B2C" w:rsidRPr="00122CC5" w:rsidRDefault="00286BD8" w:rsidP="00714374">
      <w:pPr>
        <w:pStyle w:val="Heading2"/>
        <w:jc w:val="both"/>
        <w:rPr>
          <w:rFonts w:ascii="Times New Roman" w:hAnsi="Times New Roman" w:cs="Times New Roman"/>
        </w:rPr>
      </w:pPr>
      <w:r w:rsidRPr="00122CC5">
        <w:rPr>
          <w:rFonts w:ascii="Times New Roman" w:hAnsi="Times New Roman" w:cs="Times New Roman"/>
        </w:rPr>
        <w:lastRenderedPageBreak/>
        <w:t>Commercial Retroc</w:t>
      </w:r>
      <w:r w:rsidR="00F10FBE" w:rsidRPr="00122CC5">
        <w:rPr>
          <w:rFonts w:ascii="Times New Roman" w:hAnsi="Times New Roman" w:cs="Times New Roman"/>
        </w:rPr>
        <w:t>ommissioning</w:t>
      </w:r>
      <w:r w:rsidRPr="00122CC5">
        <w:rPr>
          <w:rFonts w:ascii="Times New Roman" w:hAnsi="Times New Roman" w:cs="Times New Roman"/>
        </w:rPr>
        <w:t>:</w:t>
      </w:r>
    </w:p>
    <w:p w:rsidR="005D1884" w:rsidRPr="00122CC5" w:rsidRDefault="005D1884" w:rsidP="00714374">
      <w:pPr>
        <w:autoSpaceDE w:val="0"/>
        <w:autoSpaceDN w:val="0"/>
        <w:adjustRightInd w:val="0"/>
        <w:spacing w:before="3" w:after="0" w:line="360" w:lineRule="auto"/>
        <w:ind w:firstLine="274"/>
        <w:jc w:val="both"/>
        <w:rPr>
          <w:rFonts w:ascii="Times New Roman" w:hAnsi="Times New Roman" w:cs="Times New Roman"/>
          <w:sz w:val="24"/>
          <w:szCs w:val="24"/>
        </w:rPr>
      </w:pPr>
      <w:r w:rsidRPr="00122CC5">
        <w:rPr>
          <w:rFonts w:ascii="Times New Roman" w:hAnsi="Times New Roman" w:cs="Times New Roman"/>
          <w:b/>
          <w:sz w:val="24"/>
          <w:szCs w:val="24"/>
        </w:rPr>
        <w:t>Unit Energy Savings assumptions</w:t>
      </w:r>
      <w:r w:rsidRPr="00122CC5">
        <w:rPr>
          <w:rFonts w:ascii="Times New Roman" w:hAnsi="Times New Roman" w:cs="Times New Roman"/>
          <w:sz w:val="24"/>
          <w:szCs w:val="24"/>
        </w:rPr>
        <w:t>: Historically</w:t>
      </w:r>
      <w:r w:rsidR="002E404D" w:rsidRPr="00122CC5">
        <w:rPr>
          <w:rFonts w:ascii="Times New Roman" w:hAnsi="Times New Roman" w:cs="Times New Roman"/>
          <w:sz w:val="24"/>
          <w:szCs w:val="24"/>
        </w:rPr>
        <w:t>,</w:t>
      </w:r>
      <w:r w:rsidRPr="00122CC5">
        <w:rPr>
          <w:rFonts w:ascii="Times New Roman" w:hAnsi="Times New Roman" w:cs="Times New Roman"/>
          <w:sz w:val="24"/>
          <w:szCs w:val="24"/>
        </w:rPr>
        <w:t xml:space="preserve"> RCx claimed savings is 3% of average annual usage.  </w:t>
      </w:r>
      <w:r w:rsidR="002E404D" w:rsidRPr="00122CC5">
        <w:rPr>
          <w:rFonts w:ascii="Times New Roman" w:hAnsi="Times New Roman" w:cs="Times New Roman"/>
          <w:sz w:val="24"/>
          <w:szCs w:val="24"/>
        </w:rPr>
        <w:t>A more realistic savings</w:t>
      </w:r>
      <w:r w:rsidRPr="00122CC5">
        <w:rPr>
          <w:rFonts w:ascii="Times New Roman" w:hAnsi="Times New Roman" w:cs="Times New Roman"/>
          <w:sz w:val="24"/>
          <w:szCs w:val="24"/>
        </w:rPr>
        <w:t xml:space="preserve"> percentage </w:t>
      </w:r>
      <w:r w:rsidR="002E404D" w:rsidRPr="00122CC5">
        <w:rPr>
          <w:rFonts w:ascii="Times New Roman" w:hAnsi="Times New Roman" w:cs="Times New Roman"/>
          <w:sz w:val="24"/>
          <w:szCs w:val="24"/>
        </w:rPr>
        <w:t xml:space="preserve">of </w:t>
      </w:r>
      <w:r w:rsidRPr="00122CC5">
        <w:rPr>
          <w:rFonts w:ascii="Times New Roman" w:hAnsi="Times New Roman" w:cs="Times New Roman"/>
          <w:sz w:val="24"/>
          <w:szCs w:val="24"/>
        </w:rPr>
        <w:t>5% for the large/small office and college/school sectors</w:t>
      </w:r>
      <w:r w:rsidR="002E404D" w:rsidRPr="00122CC5">
        <w:rPr>
          <w:rFonts w:ascii="Times New Roman" w:hAnsi="Times New Roman" w:cs="Times New Roman"/>
          <w:sz w:val="24"/>
          <w:szCs w:val="24"/>
        </w:rPr>
        <w:t xml:space="preserve"> would be appropriate</w:t>
      </w:r>
      <w:r w:rsidRPr="00122CC5">
        <w:rPr>
          <w:rFonts w:ascii="Times New Roman" w:hAnsi="Times New Roman" w:cs="Times New Roman"/>
          <w:sz w:val="24"/>
          <w:szCs w:val="24"/>
        </w:rPr>
        <w:t>. The current assumptions for these particular building types range from 8% to 12% which is unlikely to be realized.</w:t>
      </w:r>
    </w:p>
    <w:p w:rsidR="00165EE3" w:rsidRPr="00122CC5" w:rsidRDefault="00165EE3" w:rsidP="00714374">
      <w:pPr>
        <w:autoSpaceDE w:val="0"/>
        <w:autoSpaceDN w:val="0"/>
        <w:adjustRightInd w:val="0"/>
        <w:spacing w:before="3" w:after="0" w:line="360" w:lineRule="auto"/>
        <w:ind w:firstLine="274"/>
        <w:jc w:val="both"/>
        <w:rPr>
          <w:rFonts w:ascii="Times New Roman" w:hAnsi="Times New Roman" w:cs="Times New Roman"/>
          <w:sz w:val="24"/>
        </w:rPr>
      </w:pPr>
      <w:r w:rsidRPr="00122CC5">
        <w:rPr>
          <w:rFonts w:ascii="Times New Roman" w:hAnsi="Times New Roman" w:cs="Times New Roman"/>
          <w:b/>
          <w:sz w:val="24"/>
        </w:rPr>
        <w:t>Review of Representative measures:</w:t>
      </w:r>
      <w:r w:rsidRPr="00122CC5">
        <w:rPr>
          <w:rFonts w:ascii="Times New Roman" w:hAnsi="Times New Roman" w:cs="Times New Roman"/>
          <w:sz w:val="24"/>
        </w:rPr>
        <w:t xml:space="preserve"> Measures indicated under Commercial</w:t>
      </w:r>
      <w:r w:rsidR="005D1884" w:rsidRPr="00122CC5">
        <w:rPr>
          <w:rFonts w:ascii="Times New Roman" w:hAnsi="Times New Roman" w:cs="Times New Roman"/>
          <w:sz w:val="24"/>
        </w:rPr>
        <w:t xml:space="preserve"> </w:t>
      </w:r>
      <w:r w:rsidRPr="00122CC5">
        <w:rPr>
          <w:rFonts w:ascii="Times New Roman" w:hAnsi="Times New Roman" w:cs="Times New Roman"/>
          <w:sz w:val="24"/>
        </w:rPr>
        <w:t xml:space="preserve"> </w:t>
      </w:r>
      <w:r w:rsidR="00032456" w:rsidRPr="00714374">
        <w:rPr>
          <w:rFonts w:ascii="Times New Roman" w:hAnsi="Times New Roman" w:cs="Times New Roman"/>
          <w:sz w:val="24"/>
          <w:szCs w:val="24"/>
        </w:rPr>
        <w:t>Retrocommissioning</w:t>
      </w:r>
      <w:r w:rsidR="00032456" w:rsidRPr="00122CC5">
        <w:rPr>
          <w:rFonts w:ascii="Times New Roman" w:hAnsi="Times New Roman" w:cs="Times New Roman"/>
          <w:sz w:val="24"/>
        </w:rPr>
        <w:t xml:space="preserve"> </w:t>
      </w:r>
      <w:r w:rsidRPr="00122CC5">
        <w:rPr>
          <w:rFonts w:ascii="Times New Roman" w:hAnsi="Times New Roman" w:cs="Times New Roman"/>
          <w:sz w:val="24"/>
        </w:rPr>
        <w:t>(RCx), such as correct actuator/damper operations and correct economizer operations have the potential of replacing like for like equipment</w:t>
      </w:r>
      <w:r w:rsidR="005D1884" w:rsidRPr="00122CC5">
        <w:rPr>
          <w:rFonts w:ascii="Times New Roman" w:hAnsi="Times New Roman" w:cs="Times New Roman"/>
          <w:sz w:val="24"/>
        </w:rPr>
        <w:t>,</w:t>
      </w:r>
      <w:r w:rsidRPr="00122CC5">
        <w:rPr>
          <w:rFonts w:ascii="Times New Roman" w:hAnsi="Times New Roman" w:cs="Times New Roman"/>
          <w:sz w:val="24"/>
        </w:rPr>
        <w:t xml:space="preserve"> which based on further clarification from the Commission Staff </w:t>
      </w:r>
      <w:r w:rsidR="005D1884" w:rsidRPr="00122CC5">
        <w:rPr>
          <w:rFonts w:ascii="Times New Roman" w:hAnsi="Times New Roman" w:cs="Times New Roman"/>
          <w:sz w:val="24"/>
        </w:rPr>
        <w:t>is likely to</w:t>
      </w:r>
      <w:r w:rsidRPr="00122CC5">
        <w:rPr>
          <w:rFonts w:ascii="Times New Roman" w:hAnsi="Times New Roman" w:cs="Times New Roman"/>
          <w:sz w:val="24"/>
        </w:rPr>
        <w:t xml:space="preserve"> be considered normal replacement thus would not qualify for Retro</w:t>
      </w:r>
      <w:r w:rsidR="00286BD8" w:rsidRPr="00122CC5">
        <w:rPr>
          <w:rFonts w:ascii="Times New Roman" w:hAnsi="Times New Roman" w:cs="Times New Roman"/>
          <w:sz w:val="24"/>
        </w:rPr>
        <w:t>-</w:t>
      </w:r>
      <w:r w:rsidRPr="00122CC5">
        <w:rPr>
          <w:rFonts w:ascii="Times New Roman" w:hAnsi="Times New Roman" w:cs="Times New Roman"/>
          <w:sz w:val="24"/>
        </w:rPr>
        <w:t xml:space="preserve">commissioning under </w:t>
      </w:r>
      <w:r w:rsidR="00FB7A2A" w:rsidRPr="00122CC5">
        <w:rPr>
          <w:rFonts w:ascii="Times New Roman" w:hAnsi="Times New Roman" w:cs="Times New Roman"/>
          <w:sz w:val="24"/>
        </w:rPr>
        <w:t>programmatic</w:t>
      </w:r>
      <w:r w:rsidRPr="00122CC5">
        <w:rPr>
          <w:rFonts w:ascii="Times New Roman" w:hAnsi="Times New Roman" w:cs="Times New Roman"/>
          <w:sz w:val="24"/>
        </w:rPr>
        <w:t xml:space="preserve"> BRO framework described in</w:t>
      </w:r>
      <w:r w:rsidR="00792F2E" w:rsidRPr="00122CC5">
        <w:rPr>
          <w:rFonts w:ascii="Times New Roman" w:hAnsi="Times New Roman" w:cs="Times New Roman"/>
          <w:sz w:val="24"/>
        </w:rPr>
        <w:t xml:space="preserve"> Resolution</w:t>
      </w:r>
      <w:r w:rsidRPr="00122CC5">
        <w:rPr>
          <w:rFonts w:ascii="Times New Roman" w:hAnsi="Times New Roman" w:cs="Times New Roman"/>
          <w:sz w:val="24"/>
        </w:rPr>
        <w:t xml:space="preserve"> E-4818. If the Commission adopts </w:t>
      </w:r>
      <w:r w:rsidR="00EC58AB" w:rsidRPr="00122CC5">
        <w:rPr>
          <w:rFonts w:ascii="Times New Roman" w:hAnsi="Times New Roman" w:cs="Times New Roman"/>
          <w:sz w:val="24"/>
        </w:rPr>
        <w:t>the</w:t>
      </w:r>
      <w:r w:rsidRPr="00122CC5">
        <w:rPr>
          <w:rFonts w:ascii="Times New Roman" w:hAnsi="Times New Roman" w:cs="Times New Roman"/>
          <w:sz w:val="24"/>
        </w:rPr>
        <w:t xml:space="preserve"> clarification</w:t>
      </w:r>
      <w:r w:rsidR="00EC58AB" w:rsidRPr="00122CC5">
        <w:rPr>
          <w:rFonts w:ascii="Times New Roman" w:hAnsi="Times New Roman" w:cs="Times New Roman"/>
          <w:sz w:val="24"/>
        </w:rPr>
        <w:t xml:space="preserve"> that these measures are considered normal replacement,</w:t>
      </w:r>
      <w:r w:rsidRPr="00122CC5">
        <w:rPr>
          <w:rFonts w:ascii="Times New Roman" w:hAnsi="Times New Roman" w:cs="Times New Roman"/>
          <w:sz w:val="24"/>
        </w:rPr>
        <w:t xml:space="preserve"> it would reduce the</w:t>
      </w:r>
      <w:r w:rsidR="005D1884" w:rsidRPr="00122CC5">
        <w:rPr>
          <w:rFonts w:ascii="Times New Roman" w:hAnsi="Times New Roman" w:cs="Times New Roman"/>
          <w:sz w:val="24"/>
        </w:rPr>
        <w:t xml:space="preserve"> historical</w:t>
      </w:r>
      <w:r w:rsidRPr="00122CC5">
        <w:rPr>
          <w:rFonts w:ascii="Times New Roman" w:hAnsi="Times New Roman" w:cs="Times New Roman"/>
          <w:sz w:val="24"/>
        </w:rPr>
        <w:t xml:space="preserve"> savings potential for </w:t>
      </w:r>
      <w:r w:rsidR="00EC58AB" w:rsidRPr="00122CC5">
        <w:rPr>
          <w:rFonts w:ascii="Times New Roman" w:hAnsi="Times New Roman" w:cs="Times New Roman"/>
          <w:sz w:val="24"/>
        </w:rPr>
        <w:t>Retrocommissioning activities</w:t>
      </w:r>
      <w:r w:rsidRPr="00122CC5">
        <w:rPr>
          <w:rFonts w:ascii="Times New Roman" w:hAnsi="Times New Roman" w:cs="Times New Roman"/>
          <w:sz w:val="24"/>
        </w:rPr>
        <w:t xml:space="preserve"> significantly</w:t>
      </w:r>
      <w:r w:rsidR="005D1884" w:rsidRPr="00122CC5">
        <w:rPr>
          <w:rFonts w:ascii="Times New Roman" w:hAnsi="Times New Roman" w:cs="Times New Roman"/>
          <w:sz w:val="24"/>
        </w:rPr>
        <w:t>,</w:t>
      </w:r>
      <w:r w:rsidRPr="00122CC5">
        <w:rPr>
          <w:rFonts w:ascii="Times New Roman" w:hAnsi="Times New Roman" w:cs="Times New Roman"/>
          <w:sz w:val="24"/>
        </w:rPr>
        <w:t xml:space="preserve"> by approximately 65%.</w:t>
      </w:r>
      <w:r w:rsidR="005D1884" w:rsidRPr="00122CC5">
        <w:rPr>
          <w:rFonts w:ascii="Times New Roman" w:hAnsi="Times New Roman" w:cs="Times New Roman"/>
          <w:sz w:val="24"/>
        </w:rPr>
        <w:t xml:space="preserve"> Furthermore, the</w:t>
      </w:r>
      <w:r w:rsidR="00EC58AB" w:rsidRPr="00122CC5">
        <w:rPr>
          <w:rFonts w:ascii="Times New Roman" w:hAnsi="Times New Roman" w:cs="Times New Roman"/>
          <w:sz w:val="24"/>
        </w:rPr>
        <w:t xml:space="preserve"> identified measures</w:t>
      </w:r>
      <w:r w:rsidR="005D1884" w:rsidRPr="00122CC5">
        <w:rPr>
          <w:rFonts w:ascii="Times New Roman" w:hAnsi="Times New Roman" w:cs="Times New Roman"/>
          <w:sz w:val="24"/>
        </w:rPr>
        <w:t xml:space="preserve"> tend to be higher savings per unit which could result in additional reduction in RCx UES savings values</w:t>
      </w:r>
      <w:r w:rsidR="00EC58AB" w:rsidRPr="00122CC5">
        <w:rPr>
          <w:rFonts w:ascii="Times New Roman" w:hAnsi="Times New Roman" w:cs="Times New Roman"/>
          <w:sz w:val="24"/>
        </w:rPr>
        <w:t xml:space="preserve"> and associated Cost-effectiveness</w:t>
      </w:r>
      <w:r w:rsidR="005D1884" w:rsidRPr="00122CC5">
        <w:rPr>
          <w:rFonts w:ascii="Times New Roman" w:hAnsi="Times New Roman" w:cs="Times New Roman"/>
          <w:sz w:val="24"/>
        </w:rPr>
        <w:t xml:space="preserve">. </w:t>
      </w:r>
    </w:p>
    <w:p w:rsidR="00165EE3" w:rsidRPr="00122CC5" w:rsidRDefault="00165EE3" w:rsidP="00714374">
      <w:pPr>
        <w:autoSpaceDE w:val="0"/>
        <w:autoSpaceDN w:val="0"/>
        <w:adjustRightInd w:val="0"/>
        <w:spacing w:before="3" w:after="0" w:line="360" w:lineRule="auto"/>
        <w:ind w:firstLine="274"/>
        <w:jc w:val="both"/>
        <w:rPr>
          <w:rFonts w:ascii="Times New Roman" w:hAnsi="Times New Roman" w:cs="Times New Roman"/>
          <w:sz w:val="24"/>
          <w:szCs w:val="24"/>
        </w:rPr>
      </w:pPr>
      <w:r w:rsidRPr="00122CC5">
        <w:rPr>
          <w:rFonts w:ascii="Times New Roman" w:hAnsi="Times New Roman" w:cs="Times New Roman"/>
          <w:b/>
          <w:sz w:val="24"/>
          <w:szCs w:val="24"/>
        </w:rPr>
        <w:t>Size of RCx:</w:t>
      </w:r>
      <w:r w:rsidRPr="00122CC5">
        <w:rPr>
          <w:rFonts w:ascii="Times New Roman" w:hAnsi="Times New Roman" w:cs="Times New Roman"/>
          <w:sz w:val="24"/>
          <w:szCs w:val="24"/>
        </w:rPr>
        <w:t xml:space="preserve">  </w:t>
      </w:r>
      <w:r w:rsidR="00E200EE" w:rsidRPr="00122CC5">
        <w:rPr>
          <w:rFonts w:ascii="Times New Roman" w:hAnsi="Times New Roman" w:cs="Times New Roman"/>
          <w:sz w:val="24"/>
          <w:szCs w:val="24"/>
        </w:rPr>
        <w:t>H</w:t>
      </w:r>
      <w:r w:rsidRPr="00122CC5">
        <w:rPr>
          <w:rFonts w:ascii="Times New Roman" w:hAnsi="Times New Roman" w:cs="Times New Roman"/>
          <w:sz w:val="24"/>
          <w:szCs w:val="24"/>
        </w:rPr>
        <w:t>istorically</w:t>
      </w:r>
      <w:r w:rsidR="00E200EE" w:rsidRPr="00122CC5">
        <w:rPr>
          <w:rFonts w:ascii="Times New Roman" w:hAnsi="Times New Roman" w:cs="Times New Roman"/>
          <w:sz w:val="24"/>
          <w:szCs w:val="24"/>
        </w:rPr>
        <w:t>, SCE</w:t>
      </w:r>
      <w:r w:rsidRPr="00122CC5">
        <w:rPr>
          <w:rFonts w:ascii="Times New Roman" w:hAnsi="Times New Roman" w:cs="Times New Roman"/>
          <w:sz w:val="24"/>
          <w:szCs w:val="24"/>
        </w:rPr>
        <w:t xml:space="preserve"> </w:t>
      </w:r>
      <w:r w:rsidR="00E200EE" w:rsidRPr="00122CC5">
        <w:rPr>
          <w:rFonts w:ascii="Times New Roman" w:hAnsi="Times New Roman" w:cs="Times New Roman"/>
          <w:sz w:val="24"/>
          <w:szCs w:val="24"/>
        </w:rPr>
        <w:t xml:space="preserve">has </w:t>
      </w:r>
      <w:r w:rsidRPr="00122CC5">
        <w:rPr>
          <w:rFonts w:ascii="Times New Roman" w:hAnsi="Times New Roman" w:cs="Times New Roman"/>
          <w:sz w:val="24"/>
          <w:szCs w:val="24"/>
        </w:rPr>
        <w:t>spent approximately $2,000,000 per year</w:t>
      </w:r>
      <w:r w:rsidR="00E200EE" w:rsidRPr="00122CC5">
        <w:rPr>
          <w:rFonts w:ascii="Times New Roman" w:hAnsi="Times New Roman" w:cs="Times New Roman"/>
          <w:sz w:val="24"/>
          <w:szCs w:val="24"/>
        </w:rPr>
        <w:t xml:space="preserve"> </w:t>
      </w:r>
      <w:r w:rsidR="005D1884" w:rsidRPr="00122CC5">
        <w:rPr>
          <w:rFonts w:ascii="Times New Roman" w:hAnsi="Times New Roman" w:cs="Times New Roman"/>
          <w:sz w:val="24"/>
          <w:szCs w:val="24"/>
        </w:rPr>
        <w:t xml:space="preserve">vs. $2.37 </w:t>
      </w:r>
      <w:r w:rsidR="00EA2863" w:rsidRPr="00122CC5">
        <w:rPr>
          <w:rFonts w:ascii="Times New Roman" w:hAnsi="Times New Roman" w:cs="Times New Roman"/>
          <w:sz w:val="24"/>
          <w:szCs w:val="24"/>
        </w:rPr>
        <w:t>suggest in the draft RCx methodology</w:t>
      </w:r>
      <w:r w:rsidR="00E200EE" w:rsidRPr="00122CC5">
        <w:rPr>
          <w:rFonts w:ascii="Times New Roman" w:hAnsi="Times New Roman" w:cs="Times New Roman"/>
          <w:sz w:val="24"/>
          <w:szCs w:val="24"/>
        </w:rPr>
        <w:t xml:space="preserve">. </w:t>
      </w:r>
      <w:r w:rsidR="005D1884" w:rsidRPr="00122CC5">
        <w:rPr>
          <w:rFonts w:ascii="Times New Roman" w:hAnsi="Times New Roman" w:cs="Times New Roman"/>
          <w:sz w:val="24"/>
          <w:szCs w:val="24"/>
        </w:rPr>
        <w:t>While the associated dollar amount is reasonable the</w:t>
      </w:r>
      <w:r w:rsidR="00E200EE" w:rsidRPr="00122CC5">
        <w:rPr>
          <w:rFonts w:ascii="Times New Roman" w:hAnsi="Times New Roman" w:cs="Times New Roman"/>
          <w:sz w:val="24"/>
          <w:szCs w:val="24"/>
        </w:rPr>
        <w:t xml:space="preserve"> resulting increase in</w:t>
      </w:r>
      <w:r w:rsidR="005D1884" w:rsidRPr="00122CC5">
        <w:rPr>
          <w:rFonts w:ascii="Times New Roman" w:hAnsi="Times New Roman" w:cs="Times New Roman"/>
          <w:sz w:val="24"/>
          <w:szCs w:val="24"/>
        </w:rPr>
        <w:t xml:space="preserve"> higher UES appears to be driving the Cost effectiveness and is</w:t>
      </w:r>
      <w:r w:rsidR="00E200EE" w:rsidRPr="00122CC5">
        <w:rPr>
          <w:rFonts w:ascii="Times New Roman" w:hAnsi="Times New Roman" w:cs="Times New Roman"/>
          <w:sz w:val="24"/>
          <w:szCs w:val="24"/>
        </w:rPr>
        <w:t xml:space="preserve"> not likely to reasonable occur as a more</w:t>
      </w:r>
      <w:r w:rsidRPr="00122CC5">
        <w:rPr>
          <w:rFonts w:ascii="Times New Roman" w:hAnsi="Times New Roman" w:cs="Times New Roman"/>
          <w:sz w:val="24"/>
          <w:szCs w:val="24"/>
        </w:rPr>
        <w:t xml:space="preserve"> limited scope </w:t>
      </w:r>
      <w:r w:rsidR="00E200EE" w:rsidRPr="00122CC5">
        <w:rPr>
          <w:rFonts w:ascii="Times New Roman" w:hAnsi="Times New Roman" w:cs="Times New Roman"/>
          <w:sz w:val="24"/>
          <w:szCs w:val="24"/>
        </w:rPr>
        <w:t xml:space="preserve">of RCx is </w:t>
      </w:r>
      <w:r w:rsidRPr="00122CC5">
        <w:rPr>
          <w:rFonts w:ascii="Times New Roman" w:hAnsi="Times New Roman" w:cs="Times New Roman"/>
          <w:sz w:val="24"/>
          <w:szCs w:val="24"/>
        </w:rPr>
        <w:t>clarif</w:t>
      </w:r>
      <w:r w:rsidR="00E200EE" w:rsidRPr="00122CC5">
        <w:rPr>
          <w:rFonts w:ascii="Times New Roman" w:hAnsi="Times New Roman" w:cs="Times New Roman"/>
          <w:sz w:val="24"/>
          <w:szCs w:val="24"/>
        </w:rPr>
        <w:t xml:space="preserve">ied by CPUC Staff/Consultants through the appropriate working groups. </w:t>
      </w:r>
      <w:r w:rsidR="005D1884" w:rsidRPr="00122CC5">
        <w:rPr>
          <w:rFonts w:ascii="Times New Roman" w:hAnsi="Times New Roman" w:cs="Times New Roman"/>
          <w:sz w:val="24"/>
          <w:szCs w:val="24"/>
        </w:rPr>
        <w:t xml:space="preserve">It is accurate to expect currently flat spending level, market penetration is flat and the adoption rate is reasonable. </w:t>
      </w:r>
      <w:r w:rsidR="00937752" w:rsidRPr="00122CC5">
        <w:rPr>
          <w:rFonts w:ascii="Times New Roman" w:hAnsi="Times New Roman" w:cs="Times New Roman"/>
          <w:sz w:val="24"/>
          <w:szCs w:val="24"/>
        </w:rPr>
        <w:t xml:space="preserve">The size of RCx is </w:t>
      </w:r>
      <w:r w:rsidR="005D1884" w:rsidRPr="00122CC5">
        <w:rPr>
          <w:rFonts w:ascii="Times New Roman" w:hAnsi="Times New Roman" w:cs="Times New Roman"/>
          <w:sz w:val="24"/>
          <w:szCs w:val="24"/>
        </w:rPr>
        <w:t xml:space="preserve">also </w:t>
      </w:r>
      <w:r w:rsidR="00937752" w:rsidRPr="00122CC5">
        <w:rPr>
          <w:rFonts w:ascii="Times New Roman" w:hAnsi="Times New Roman" w:cs="Times New Roman"/>
          <w:sz w:val="24"/>
          <w:szCs w:val="24"/>
        </w:rPr>
        <w:t xml:space="preserve">directly dependent on its cost-effectiveness. Historically, a 5 year Existing Useful Life (EUL) would be appropriate but recent decision regarding program offerings have limited the EUL </w:t>
      </w:r>
      <w:r w:rsidR="00792F2E" w:rsidRPr="00122CC5">
        <w:rPr>
          <w:rFonts w:ascii="Times New Roman" w:hAnsi="Times New Roman" w:cs="Times New Roman"/>
          <w:sz w:val="24"/>
          <w:szCs w:val="24"/>
        </w:rPr>
        <w:t>to 3 years based on Resolution E-4818</w:t>
      </w:r>
      <w:r w:rsidR="00286BD8" w:rsidRPr="00122CC5">
        <w:rPr>
          <w:rStyle w:val="FootnoteReference"/>
          <w:rFonts w:ascii="Times New Roman" w:hAnsi="Times New Roman" w:cs="Times New Roman"/>
          <w:sz w:val="24"/>
          <w:szCs w:val="24"/>
        </w:rPr>
        <w:footnoteReference w:id="3"/>
      </w:r>
      <w:r w:rsidR="00792F2E" w:rsidRPr="00122CC5">
        <w:rPr>
          <w:rFonts w:ascii="Times New Roman" w:hAnsi="Times New Roman" w:cs="Times New Roman"/>
          <w:sz w:val="24"/>
          <w:szCs w:val="24"/>
        </w:rPr>
        <w:t xml:space="preserve"> and not th</w:t>
      </w:r>
      <w:r w:rsidR="005D1884" w:rsidRPr="00122CC5">
        <w:rPr>
          <w:rFonts w:ascii="Times New Roman" w:hAnsi="Times New Roman" w:cs="Times New Roman"/>
          <w:sz w:val="24"/>
          <w:szCs w:val="24"/>
        </w:rPr>
        <w:t>e 5 years indicated in the studies’</w:t>
      </w:r>
      <w:r w:rsidR="00792F2E" w:rsidRPr="00122CC5">
        <w:rPr>
          <w:rFonts w:ascii="Times New Roman" w:hAnsi="Times New Roman" w:cs="Times New Roman"/>
          <w:sz w:val="24"/>
          <w:szCs w:val="24"/>
        </w:rPr>
        <w:t xml:space="preserve"> methodology.</w:t>
      </w:r>
      <w:r w:rsidRPr="00122CC5">
        <w:rPr>
          <w:rFonts w:ascii="Times New Roman" w:hAnsi="Times New Roman" w:cs="Times New Roman"/>
          <w:sz w:val="24"/>
          <w:szCs w:val="24"/>
        </w:rPr>
        <w:t xml:space="preserve"> This</w:t>
      </w:r>
      <w:r w:rsidR="00792F2E" w:rsidRPr="00122CC5">
        <w:rPr>
          <w:rFonts w:ascii="Times New Roman" w:hAnsi="Times New Roman" w:cs="Times New Roman"/>
          <w:sz w:val="24"/>
          <w:szCs w:val="24"/>
        </w:rPr>
        <w:t xml:space="preserve"> change will</w:t>
      </w:r>
      <w:r w:rsidRPr="00122CC5">
        <w:rPr>
          <w:rFonts w:ascii="Times New Roman" w:hAnsi="Times New Roman" w:cs="Times New Roman"/>
          <w:sz w:val="24"/>
          <w:szCs w:val="24"/>
        </w:rPr>
        <w:t xml:space="preserve"> reduce</w:t>
      </w:r>
      <w:r w:rsidR="00792F2E" w:rsidRPr="00122CC5">
        <w:rPr>
          <w:rFonts w:ascii="Times New Roman" w:hAnsi="Times New Roman" w:cs="Times New Roman"/>
          <w:sz w:val="24"/>
          <w:szCs w:val="24"/>
        </w:rPr>
        <w:t xml:space="preserve"> the range of RCx </w:t>
      </w:r>
      <w:r w:rsidRPr="00122CC5">
        <w:rPr>
          <w:rFonts w:ascii="Times New Roman" w:hAnsi="Times New Roman" w:cs="Times New Roman"/>
          <w:sz w:val="24"/>
          <w:szCs w:val="24"/>
        </w:rPr>
        <w:t>measures</w:t>
      </w:r>
      <w:r w:rsidR="00792F2E" w:rsidRPr="00122CC5">
        <w:rPr>
          <w:rFonts w:ascii="Times New Roman" w:hAnsi="Times New Roman" w:cs="Times New Roman"/>
          <w:sz w:val="24"/>
          <w:szCs w:val="24"/>
        </w:rPr>
        <w:t xml:space="preserve"> applicability</w:t>
      </w:r>
      <w:r w:rsidRPr="00122CC5">
        <w:rPr>
          <w:rFonts w:ascii="Times New Roman" w:hAnsi="Times New Roman" w:cs="Times New Roman"/>
          <w:sz w:val="24"/>
          <w:szCs w:val="24"/>
        </w:rPr>
        <w:t xml:space="preserve"> </w:t>
      </w:r>
      <w:r w:rsidR="00792F2E" w:rsidRPr="00122CC5">
        <w:rPr>
          <w:rFonts w:ascii="Times New Roman" w:hAnsi="Times New Roman" w:cs="Times New Roman"/>
          <w:sz w:val="24"/>
          <w:szCs w:val="24"/>
        </w:rPr>
        <w:t xml:space="preserve">based on </w:t>
      </w:r>
      <w:r w:rsidRPr="00122CC5">
        <w:rPr>
          <w:rFonts w:ascii="Times New Roman" w:hAnsi="Times New Roman" w:cs="Times New Roman"/>
          <w:sz w:val="24"/>
          <w:szCs w:val="24"/>
        </w:rPr>
        <w:t>cost effective</w:t>
      </w:r>
      <w:r w:rsidR="00792F2E" w:rsidRPr="00122CC5">
        <w:rPr>
          <w:rFonts w:ascii="Times New Roman" w:hAnsi="Times New Roman" w:cs="Times New Roman"/>
          <w:sz w:val="24"/>
          <w:szCs w:val="24"/>
        </w:rPr>
        <w:t>ness</w:t>
      </w:r>
      <w:r w:rsidRPr="00122CC5">
        <w:rPr>
          <w:rFonts w:ascii="Times New Roman" w:hAnsi="Times New Roman" w:cs="Times New Roman"/>
          <w:sz w:val="24"/>
          <w:szCs w:val="24"/>
        </w:rPr>
        <w:t xml:space="preserve">. </w:t>
      </w:r>
    </w:p>
    <w:p w:rsidR="00735FA3" w:rsidRPr="00122CC5" w:rsidRDefault="00735FA3" w:rsidP="00714374">
      <w:pPr>
        <w:pStyle w:val="Heading2"/>
        <w:jc w:val="both"/>
        <w:rPr>
          <w:rFonts w:ascii="Times New Roman" w:hAnsi="Times New Roman" w:cs="Times New Roman"/>
        </w:rPr>
      </w:pPr>
    </w:p>
    <w:p w:rsidR="00F10FBE" w:rsidRPr="00122CC5" w:rsidRDefault="00FB7A2A" w:rsidP="00714374">
      <w:pPr>
        <w:pStyle w:val="Heading2"/>
        <w:jc w:val="both"/>
        <w:rPr>
          <w:rFonts w:ascii="Times New Roman" w:hAnsi="Times New Roman" w:cs="Times New Roman"/>
        </w:rPr>
      </w:pPr>
      <w:r w:rsidRPr="00122CC5">
        <w:rPr>
          <w:rFonts w:ascii="Times New Roman" w:hAnsi="Times New Roman" w:cs="Times New Roman"/>
        </w:rPr>
        <w:t xml:space="preserve">Building Operation Certification (BOC) and Business Energy Reports (BERs), </w:t>
      </w:r>
      <w:r w:rsidR="00F10FBE" w:rsidRPr="00122CC5">
        <w:rPr>
          <w:rFonts w:ascii="Times New Roman" w:hAnsi="Times New Roman" w:cs="Times New Roman"/>
        </w:rPr>
        <w:t>Commercial Building Information and Energy Management Systems</w:t>
      </w:r>
      <w:r w:rsidR="00B20775" w:rsidRPr="00122CC5">
        <w:rPr>
          <w:rFonts w:ascii="Times New Roman" w:hAnsi="Times New Roman" w:cs="Times New Roman"/>
        </w:rPr>
        <w:t xml:space="preserve"> (BIEMS)</w:t>
      </w:r>
    </w:p>
    <w:p w:rsidR="00FB7A2A" w:rsidRPr="00122CC5" w:rsidRDefault="00FB7A2A" w:rsidP="00714374">
      <w:pPr>
        <w:autoSpaceDE w:val="0"/>
        <w:autoSpaceDN w:val="0"/>
        <w:adjustRightInd w:val="0"/>
        <w:spacing w:before="3" w:after="0" w:line="360" w:lineRule="auto"/>
        <w:ind w:firstLine="274"/>
        <w:jc w:val="both"/>
        <w:rPr>
          <w:rFonts w:ascii="Times New Roman" w:hAnsi="Times New Roman" w:cs="Times New Roman"/>
        </w:rPr>
      </w:pPr>
      <w:r w:rsidRPr="00122CC5">
        <w:rPr>
          <w:rFonts w:ascii="Times New Roman" w:hAnsi="Times New Roman" w:cs="Times New Roman"/>
        </w:rPr>
        <w:t xml:space="preserve">SCE currently does not have offerings that align with BOC. BERs. BIEMS at this time and recommends removing potential in the immediate term due to uncertainty associated with these savings and the unknown cost-effectiveness of these approaches.  As more information is developed and portfolio funding shifts to Third Party approaches and administration these </w:t>
      </w:r>
      <w:r w:rsidR="00286BD8" w:rsidRPr="00122CC5">
        <w:rPr>
          <w:rFonts w:ascii="Times New Roman" w:hAnsi="Times New Roman" w:cs="Times New Roman"/>
        </w:rPr>
        <w:t>innervations’ associated market potential</w:t>
      </w:r>
      <w:r w:rsidRPr="00122CC5">
        <w:rPr>
          <w:rFonts w:ascii="Times New Roman" w:hAnsi="Times New Roman" w:cs="Times New Roman"/>
        </w:rPr>
        <w:t xml:space="preserve"> </w:t>
      </w:r>
      <w:r w:rsidR="00286BD8" w:rsidRPr="00122CC5">
        <w:rPr>
          <w:rFonts w:ascii="Times New Roman" w:hAnsi="Times New Roman" w:cs="Times New Roman"/>
        </w:rPr>
        <w:t>could</w:t>
      </w:r>
      <w:r w:rsidRPr="00122CC5">
        <w:rPr>
          <w:rFonts w:ascii="Times New Roman" w:hAnsi="Times New Roman" w:cs="Times New Roman"/>
        </w:rPr>
        <w:t xml:space="preserve"> be </w:t>
      </w:r>
      <w:r w:rsidR="00286BD8" w:rsidRPr="00122CC5">
        <w:rPr>
          <w:rFonts w:ascii="Times New Roman" w:hAnsi="Times New Roman" w:cs="Times New Roman"/>
        </w:rPr>
        <w:t>expanded</w:t>
      </w:r>
      <w:r w:rsidRPr="00122CC5">
        <w:rPr>
          <w:rFonts w:ascii="Times New Roman" w:hAnsi="Times New Roman" w:cs="Times New Roman"/>
        </w:rPr>
        <w:t xml:space="preserve"> in future market potential studies. </w:t>
      </w:r>
    </w:p>
    <w:p w:rsidR="00F10FBE" w:rsidRPr="00122CC5" w:rsidRDefault="00E231E7" w:rsidP="00714374">
      <w:pPr>
        <w:pStyle w:val="Heading2"/>
        <w:jc w:val="both"/>
        <w:rPr>
          <w:rFonts w:ascii="Times New Roman" w:hAnsi="Times New Roman" w:cs="Times New Roman"/>
        </w:rPr>
      </w:pPr>
      <w:r w:rsidRPr="00122CC5">
        <w:rPr>
          <w:rFonts w:ascii="Times New Roman" w:hAnsi="Times New Roman" w:cs="Times New Roman"/>
        </w:rPr>
        <w:t>Commercial Strategic Energy Management</w:t>
      </w:r>
    </w:p>
    <w:p w:rsidR="00E231E7" w:rsidRDefault="00E231E7" w:rsidP="00714374">
      <w:pPr>
        <w:autoSpaceDE w:val="0"/>
        <w:autoSpaceDN w:val="0"/>
        <w:adjustRightInd w:val="0"/>
        <w:spacing w:before="3" w:after="0" w:line="360" w:lineRule="auto"/>
        <w:ind w:firstLine="274"/>
        <w:jc w:val="both"/>
        <w:rPr>
          <w:rFonts w:ascii="Times New Roman" w:hAnsi="Times New Roman" w:cs="Times New Roman"/>
        </w:rPr>
      </w:pPr>
      <w:r w:rsidRPr="00122CC5">
        <w:rPr>
          <w:rFonts w:ascii="Times New Roman" w:hAnsi="Times New Roman" w:cs="Times New Roman"/>
        </w:rPr>
        <w:t xml:space="preserve">Currently, Strategic Energy Management is limited to the Industrial Sector and precluded by from being applied to the Commercial sector until initial Pilots are completed. Furthermore, </w:t>
      </w:r>
      <w:r w:rsidR="00695A69" w:rsidRPr="00122CC5">
        <w:rPr>
          <w:rFonts w:ascii="Times New Roman" w:hAnsi="Times New Roman" w:cs="Times New Roman"/>
        </w:rPr>
        <w:t>a</w:t>
      </w:r>
      <w:r w:rsidRPr="00122CC5">
        <w:rPr>
          <w:rFonts w:ascii="Times New Roman" w:hAnsi="Times New Roman" w:cs="Times New Roman"/>
        </w:rPr>
        <w:t xml:space="preserve">s we transition to </w:t>
      </w:r>
      <w:r w:rsidR="00695A69" w:rsidRPr="00122CC5">
        <w:rPr>
          <w:rFonts w:ascii="Times New Roman" w:hAnsi="Times New Roman" w:cs="Times New Roman"/>
        </w:rPr>
        <w:t>T</w:t>
      </w:r>
      <w:r w:rsidRPr="00122CC5">
        <w:rPr>
          <w:rFonts w:ascii="Times New Roman" w:hAnsi="Times New Roman" w:cs="Times New Roman"/>
        </w:rPr>
        <w:t>hird Party program designed programs and offerings</w:t>
      </w:r>
      <w:r w:rsidR="00695A69" w:rsidRPr="00122CC5">
        <w:rPr>
          <w:rFonts w:ascii="Times New Roman" w:hAnsi="Times New Roman" w:cs="Times New Roman"/>
        </w:rPr>
        <w:t xml:space="preserve"> we anticipate multiyear offerings or deeper offerings to pursue an approach outlined in HOPPs requiring ex-post evaluation and further delaying savings another year before they are eligible to be claimed. SCE does not anticipate seeing Commercial Sector SEM savings before 2020.</w:t>
      </w:r>
      <w:r w:rsidRPr="00122CC5">
        <w:rPr>
          <w:rFonts w:ascii="Times New Roman" w:hAnsi="Times New Roman" w:cs="Times New Roman"/>
        </w:rPr>
        <w:t xml:space="preserve"> </w:t>
      </w:r>
      <w:r w:rsidR="00C007E8" w:rsidRPr="00122CC5">
        <w:rPr>
          <w:rFonts w:ascii="Times New Roman" w:hAnsi="Times New Roman" w:cs="Times New Roman"/>
        </w:rPr>
        <w:t xml:space="preserve">Additionally, in the current statewide SEM manual that is being developed for the industrial sector, the EUL is anticipated to be significantly different than the 15 year input for the Commercial sector. While the document is not finalized, SCE encourages an adjustment to better align with programmatic offerings. </w:t>
      </w:r>
    </w:p>
    <w:p w:rsidR="00714374" w:rsidRPr="00122CC5" w:rsidRDefault="00714374" w:rsidP="00714374">
      <w:pPr>
        <w:autoSpaceDE w:val="0"/>
        <w:autoSpaceDN w:val="0"/>
        <w:adjustRightInd w:val="0"/>
        <w:spacing w:before="3" w:after="0" w:line="360" w:lineRule="auto"/>
        <w:ind w:firstLine="274"/>
        <w:jc w:val="both"/>
        <w:rPr>
          <w:rFonts w:ascii="Times New Roman" w:hAnsi="Times New Roman" w:cs="Times New Roman"/>
        </w:rPr>
      </w:pPr>
    </w:p>
    <w:p w:rsidR="00F10FBE" w:rsidRPr="00122CC5" w:rsidRDefault="007F4B23" w:rsidP="00714374">
      <w:pPr>
        <w:jc w:val="both"/>
        <w:rPr>
          <w:rFonts w:ascii="Times New Roman" w:hAnsi="Times New Roman" w:cs="Times New Roman"/>
        </w:rPr>
      </w:pPr>
      <w:r w:rsidRPr="00122CC5">
        <w:rPr>
          <w:rFonts w:ascii="Times New Roman" w:hAnsi="Times New Roman" w:cs="Times New Roman"/>
        </w:rPr>
        <w:object w:dxaOrig="1513" w:dyaOrig="984" w14:anchorId="18335C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8.6pt" o:ole="">
            <v:imagedata r:id="rId8" o:title=""/>
          </v:shape>
          <o:OLEObject Type="Embed" ProgID="AcroExch.Document.7" ShapeID="_x0000_i1025" DrawAspect="Icon" ObjectID="_1555746401" r:id="rId9"/>
        </w:object>
      </w:r>
    </w:p>
    <w:sectPr w:rsidR="00F10FBE" w:rsidRPr="00122CC5">
      <w:head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11C7" w:rsidRDefault="008C11C7" w:rsidP="000F6B2C">
      <w:pPr>
        <w:spacing w:after="0" w:line="240" w:lineRule="auto"/>
      </w:pPr>
      <w:r>
        <w:separator/>
      </w:r>
    </w:p>
  </w:endnote>
  <w:endnote w:type="continuationSeparator" w:id="0">
    <w:p w:rsidR="008C11C7" w:rsidRDefault="008C11C7" w:rsidP="000F6B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11C7" w:rsidRDefault="008C11C7" w:rsidP="000F6B2C">
      <w:pPr>
        <w:spacing w:after="0" w:line="240" w:lineRule="auto"/>
      </w:pPr>
      <w:r>
        <w:separator/>
      </w:r>
    </w:p>
  </w:footnote>
  <w:footnote w:type="continuationSeparator" w:id="0">
    <w:p w:rsidR="008C11C7" w:rsidRDefault="008C11C7" w:rsidP="000F6B2C">
      <w:pPr>
        <w:spacing w:after="0" w:line="240" w:lineRule="auto"/>
      </w:pPr>
      <w:r>
        <w:continuationSeparator/>
      </w:r>
    </w:p>
  </w:footnote>
  <w:footnote w:id="1">
    <w:p w:rsidR="000F6B2C" w:rsidRDefault="000F6B2C" w:rsidP="000F6B2C">
      <w:pPr>
        <w:pStyle w:val="FootnoteText"/>
      </w:pPr>
      <w:r>
        <w:rPr>
          <w:rStyle w:val="FootnoteReference"/>
        </w:rPr>
        <w:footnoteRef/>
      </w:r>
      <w:r>
        <w:t xml:space="preserve"> Pages 14- 15 and 17-18</w:t>
      </w:r>
    </w:p>
  </w:footnote>
  <w:footnote w:id="2">
    <w:p w:rsidR="000F6B2C" w:rsidRDefault="000F6B2C" w:rsidP="000F6B2C">
      <w:pPr>
        <w:pStyle w:val="FootnoteText"/>
      </w:pPr>
      <w:r>
        <w:rPr>
          <w:rStyle w:val="FootnoteReference"/>
        </w:rPr>
        <w:footnoteRef/>
      </w:r>
      <w:r>
        <w:t xml:space="preserve"> BEIMS, page 18.</w:t>
      </w:r>
    </w:p>
  </w:footnote>
  <w:footnote w:id="3">
    <w:p w:rsidR="00286BD8" w:rsidRDefault="00286BD8">
      <w:pPr>
        <w:pStyle w:val="FootnoteText"/>
      </w:pPr>
      <w:r>
        <w:rPr>
          <w:rStyle w:val="FootnoteReference"/>
        </w:rPr>
        <w:footnoteRef/>
      </w:r>
      <w:r>
        <w:t xml:space="preserve"> See embedded PDF attached at the end of these comments.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1160" w:type="dxa"/>
      <w:tblInd w:w="-792" w:type="dxa"/>
      <w:tblLayout w:type="fixed"/>
      <w:tblLook w:val="0000" w:firstRow="0" w:lastRow="0" w:firstColumn="0" w:lastColumn="0" w:noHBand="0" w:noVBand="0"/>
    </w:tblPr>
    <w:tblGrid>
      <w:gridCol w:w="3533"/>
      <w:gridCol w:w="4269"/>
      <w:gridCol w:w="3358"/>
    </w:tblGrid>
    <w:tr w:rsidR="00122CC5" w:rsidTr="00A423AA">
      <w:trPr>
        <w:cantSplit/>
      </w:trPr>
      <w:tc>
        <w:tcPr>
          <w:tcW w:w="3533" w:type="dxa"/>
        </w:tcPr>
        <w:p w:rsidR="00122CC5" w:rsidRDefault="00122CC5" w:rsidP="00122CC5">
          <w:pPr>
            <w:pStyle w:val="zHeaderLogo"/>
          </w:pPr>
          <w:r w:rsidRPr="00B17A9E">
            <w:rPr>
              <w:rFonts w:ascii="Arial" w:hAnsi="Arial" w:cs="Arial"/>
              <w:noProof/>
            </w:rPr>
            <w:drawing>
              <wp:inline distT="0" distB="0" distL="0" distR="0" wp14:anchorId="3F71859E" wp14:editId="011FC715">
                <wp:extent cx="1600200" cy="6096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0200" cy="609600"/>
                        </a:xfrm>
                        <a:prstGeom prst="rect">
                          <a:avLst/>
                        </a:prstGeom>
                        <a:noFill/>
                        <a:ln>
                          <a:noFill/>
                        </a:ln>
                      </pic:spPr>
                    </pic:pic>
                  </a:graphicData>
                </a:graphic>
              </wp:inline>
            </w:drawing>
          </w:r>
        </w:p>
      </w:tc>
      <w:tc>
        <w:tcPr>
          <w:tcW w:w="4269" w:type="dxa"/>
        </w:tcPr>
        <w:p w:rsidR="00122CC5" w:rsidRDefault="00122CC5" w:rsidP="00122CC5"/>
      </w:tc>
      <w:tc>
        <w:tcPr>
          <w:tcW w:w="3358" w:type="dxa"/>
        </w:tcPr>
        <w:p w:rsidR="00122CC5" w:rsidRDefault="00122CC5" w:rsidP="00122CC5">
          <w:pPr>
            <w:pStyle w:val="zHeaderAuthorTitle"/>
          </w:pPr>
          <w:bookmarkStart w:id="1" w:name="zHeaderAuthorName"/>
          <w:bookmarkEnd w:id="1"/>
          <w:r>
            <w:t xml:space="preserve"> </w:t>
          </w:r>
          <w:bookmarkStart w:id="2" w:name="zHeaderAuthorEmail"/>
          <w:bookmarkEnd w:id="2"/>
        </w:p>
      </w:tc>
    </w:tr>
  </w:tbl>
  <w:p w:rsidR="00122CC5" w:rsidRDefault="00122C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FC0415"/>
    <w:multiLevelType w:val="hybridMultilevel"/>
    <w:tmpl w:val="430A258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E7EEFA8">
      <w:start w:val="2"/>
      <w:numFmt w:val="decimal"/>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E037EE"/>
    <w:multiLevelType w:val="hybridMultilevel"/>
    <w:tmpl w:val="C2F842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7866E5E"/>
    <w:multiLevelType w:val="hybridMultilevel"/>
    <w:tmpl w:val="430A258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E7EEFA8">
      <w:start w:val="2"/>
      <w:numFmt w:val="decimal"/>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6F65E8"/>
    <w:multiLevelType w:val="hybridMultilevel"/>
    <w:tmpl w:val="AC002A3A"/>
    <w:lvl w:ilvl="0" w:tplc="BBF05DB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89C68E5"/>
    <w:multiLevelType w:val="hybridMultilevel"/>
    <w:tmpl w:val="3FB8F8D2"/>
    <w:lvl w:ilvl="0" w:tplc="31944682">
      <w:start w:val="1"/>
      <w:numFmt w:val="bullet"/>
      <w:lvlText w:val="-"/>
      <w:lvlJc w:val="left"/>
      <w:pPr>
        <w:ind w:left="1440" w:hanging="360"/>
      </w:pPr>
      <w:rPr>
        <w:rFonts w:ascii="Calibri" w:eastAsiaTheme="minorHAnsi" w:hAnsi="Calibri"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4D0861E0"/>
    <w:multiLevelType w:val="hybridMultilevel"/>
    <w:tmpl w:val="2CCE24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2F19C2"/>
    <w:multiLevelType w:val="hybridMultilevel"/>
    <w:tmpl w:val="A1FCB13C"/>
    <w:lvl w:ilvl="0" w:tplc="0409000F">
      <w:start w:val="1"/>
      <w:numFmt w:val="decimal"/>
      <w:lvlText w:val="%1."/>
      <w:lvlJc w:val="left"/>
      <w:pPr>
        <w:ind w:left="720" w:hanging="360"/>
      </w:pPr>
      <w:rPr>
        <w:rFonts w:hint="default"/>
      </w:rPr>
    </w:lvl>
    <w:lvl w:ilvl="1" w:tplc="04090019">
      <w:start w:val="1"/>
      <w:numFmt w:val="lowerLetter"/>
      <w:lvlText w:val="%2."/>
      <w:lvlJc w:val="left"/>
      <w:pPr>
        <w:ind w:left="126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D1B3056"/>
    <w:multiLevelType w:val="hybridMultilevel"/>
    <w:tmpl w:val="2B303B8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65E2511D"/>
    <w:multiLevelType w:val="hybridMultilevel"/>
    <w:tmpl w:val="05805BD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 w15:restartNumberingAfterBreak="0">
    <w:nsid w:val="67A31903"/>
    <w:multiLevelType w:val="hybridMultilevel"/>
    <w:tmpl w:val="1A06A31A"/>
    <w:lvl w:ilvl="0" w:tplc="D79CFB1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626EA0"/>
    <w:multiLevelType w:val="hybridMultilevel"/>
    <w:tmpl w:val="C18A64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7362E46"/>
    <w:multiLevelType w:val="hybridMultilevel"/>
    <w:tmpl w:val="01CC70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5"/>
  </w:num>
  <w:num w:numId="5">
    <w:abstractNumId w:val="6"/>
  </w:num>
  <w:num w:numId="6">
    <w:abstractNumId w:val="9"/>
  </w:num>
  <w:num w:numId="7">
    <w:abstractNumId w:val="3"/>
  </w:num>
  <w:num w:numId="8">
    <w:abstractNumId w:val="0"/>
  </w:num>
  <w:num w:numId="9">
    <w:abstractNumId w:val="10"/>
  </w:num>
  <w:num w:numId="10">
    <w:abstractNumId w:val="4"/>
  </w:num>
  <w:num w:numId="11">
    <w:abstractNumId w:val="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6B2C"/>
    <w:rsid w:val="00020343"/>
    <w:rsid w:val="00032456"/>
    <w:rsid w:val="00051530"/>
    <w:rsid w:val="000F6B2C"/>
    <w:rsid w:val="00122CC5"/>
    <w:rsid w:val="00165EE3"/>
    <w:rsid w:val="001B5E12"/>
    <w:rsid w:val="001B6D7C"/>
    <w:rsid w:val="001C69F9"/>
    <w:rsid w:val="002009D7"/>
    <w:rsid w:val="00226D5A"/>
    <w:rsid w:val="00274810"/>
    <w:rsid w:val="00286BD8"/>
    <w:rsid w:val="002B3D32"/>
    <w:rsid w:val="002E404D"/>
    <w:rsid w:val="0035680A"/>
    <w:rsid w:val="00371D1E"/>
    <w:rsid w:val="003B06CE"/>
    <w:rsid w:val="00406E19"/>
    <w:rsid w:val="00416040"/>
    <w:rsid w:val="00472955"/>
    <w:rsid w:val="00474304"/>
    <w:rsid w:val="004C70EB"/>
    <w:rsid w:val="00536183"/>
    <w:rsid w:val="00571CBB"/>
    <w:rsid w:val="005B01EE"/>
    <w:rsid w:val="005D1884"/>
    <w:rsid w:val="006428A5"/>
    <w:rsid w:val="00692684"/>
    <w:rsid w:val="00695A69"/>
    <w:rsid w:val="006E4F06"/>
    <w:rsid w:val="0070329B"/>
    <w:rsid w:val="00714374"/>
    <w:rsid w:val="00735FA3"/>
    <w:rsid w:val="00792F2E"/>
    <w:rsid w:val="007F4B23"/>
    <w:rsid w:val="00883A3F"/>
    <w:rsid w:val="008C11C7"/>
    <w:rsid w:val="008D2EE8"/>
    <w:rsid w:val="00931754"/>
    <w:rsid w:val="00937752"/>
    <w:rsid w:val="009E2EEE"/>
    <w:rsid w:val="00A56AB0"/>
    <w:rsid w:val="00A649A3"/>
    <w:rsid w:val="00A90A77"/>
    <w:rsid w:val="00B0510E"/>
    <w:rsid w:val="00B20775"/>
    <w:rsid w:val="00B53FDC"/>
    <w:rsid w:val="00B7678D"/>
    <w:rsid w:val="00C007E8"/>
    <w:rsid w:val="00CA637F"/>
    <w:rsid w:val="00D458BC"/>
    <w:rsid w:val="00D55E01"/>
    <w:rsid w:val="00D677E3"/>
    <w:rsid w:val="00DD4494"/>
    <w:rsid w:val="00DD735E"/>
    <w:rsid w:val="00DF518E"/>
    <w:rsid w:val="00E1652D"/>
    <w:rsid w:val="00E200EE"/>
    <w:rsid w:val="00E231E7"/>
    <w:rsid w:val="00E329B6"/>
    <w:rsid w:val="00E75EDE"/>
    <w:rsid w:val="00E92256"/>
    <w:rsid w:val="00EA2863"/>
    <w:rsid w:val="00EC58AB"/>
    <w:rsid w:val="00F10FBE"/>
    <w:rsid w:val="00F44A46"/>
    <w:rsid w:val="00F94B55"/>
    <w:rsid w:val="00FB7A2A"/>
    <w:rsid w:val="00FC2B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2D6270C-8300-471B-BB75-C1BF0C2E7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F6B2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F6B2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0F6B2C"/>
    <w:pPr>
      <w:keepNext/>
      <w:keepLines/>
      <w:spacing w:before="40" w:after="0" w:line="256" w:lineRule="auto"/>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F6B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F6B2C"/>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0F6B2C"/>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0F6B2C"/>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uiPriority w:val="34"/>
    <w:qFormat/>
    <w:rsid w:val="000F6B2C"/>
    <w:pPr>
      <w:spacing w:after="160" w:line="256" w:lineRule="auto"/>
      <w:ind w:left="720"/>
      <w:contextualSpacing/>
    </w:pPr>
  </w:style>
  <w:style w:type="paragraph" w:styleId="FootnoteText">
    <w:name w:val="footnote text"/>
    <w:basedOn w:val="Normal"/>
    <w:link w:val="FootnoteTextChar"/>
    <w:uiPriority w:val="99"/>
    <w:semiHidden/>
    <w:unhideWhenUsed/>
    <w:rsid w:val="000F6B2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F6B2C"/>
    <w:rPr>
      <w:sz w:val="20"/>
      <w:szCs w:val="20"/>
    </w:rPr>
  </w:style>
  <w:style w:type="character" w:styleId="FootnoteReference">
    <w:name w:val="footnote reference"/>
    <w:basedOn w:val="DefaultParagraphFont"/>
    <w:uiPriority w:val="99"/>
    <w:semiHidden/>
    <w:unhideWhenUsed/>
    <w:rsid w:val="000F6B2C"/>
    <w:rPr>
      <w:vertAlign w:val="superscript"/>
    </w:rPr>
  </w:style>
  <w:style w:type="character" w:styleId="CommentReference">
    <w:name w:val="annotation reference"/>
    <w:basedOn w:val="DefaultParagraphFont"/>
    <w:uiPriority w:val="99"/>
    <w:semiHidden/>
    <w:unhideWhenUsed/>
    <w:rsid w:val="00F10FBE"/>
    <w:rPr>
      <w:sz w:val="16"/>
      <w:szCs w:val="16"/>
    </w:rPr>
  </w:style>
  <w:style w:type="paragraph" w:styleId="CommentText">
    <w:name w:val="annotation text"/>
    <w:basedOn w:val="Normal"/>
    <w:link w:val="CommentTextChar"/>
    <w:uiPriority w:val="99"/>
    <w:semiHidden/>
    <w:unhideWhenUsed/>
    <w:rsid w:val="00F10FBE"/>
    <w:pPr>
      <w:spacing w:after="160" w:line="240" w:lineRule="auto"/>
    </w:pPr>
    <w:rPr>
      <w:sz w:val="20"/>
      <w:szCs w:val="20"/>
    </w:rPr>
  </w:style>
  <w:style w:type="character" w:customStyle="1" w:styleId="CommentTextChar">
    <w:name w:val="Comment Text Char"/>
    <w:basedOn w:val="DefaultParagraphFont"/>
    <w:link w:val="CommentText"/>
    <w:uiPriority w:val="99"/>
    <w:semiHidden/>
    <w:rsid w:val="00F10FBE"/>
    <w:rPr>
      <w:sz w:val="20"/>
      <w:szCs w:val="20"/>
    </w:rPr>
  </w:style>
  <w:style w:type="paragraph" w:styleId="BalloonText">
    <w:name w:val="Balloon Text"/>
    <w:basedOn w:val="Normal"/>
    <w:link w:val="BalloonTextChar"/>
    <w:uiPriority w:val="99"/>
    <w:semiHidden/>
    <w:unhideWhenUsed/>
    <w:rsid w:val="00F10FB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10FBE"/>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70329B"/>
    <w:pPr>
      <w:spacing w:after="200"/>
    </w:pPr>
    <w:rPr>
      <w:b/>
      <w:bCs/>
    </w:rPr>
  </w:style>
  <w:style w:type="character" w:customStyle="1" w:styleId="CommentSubjectChar">
    <w:name w:val="Comment Subject Char"/>
    <w:basedOn w:val="CommentTextChar"/>
    <w:link w:val="CommentSubject"/>
    <w:uiPriority w:val="99"/>
    <w:semiHidden/>
    <w:rsid w:val="0070329B"/>
    <w:rPr>
      <w:b/>
      <w:bCs/>
      <w:sz w:val="20"/>
      <w:szCs w:val="20"/>
    </w:rPr>
  </w:style>
  <w:style w:type="paragraph" w:styleId="Header">
    <w:name w:val="header"/>
    <w:basedOn w:val="Normal"/>
    <w:link w:val="HeaderChar"/>
    <w:uiPriority w:val="99"/>
    <w:unhideWhenUsed/>
    <w:rsid w:val="00122CC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CC5"/>
  </w:style>
  <w:style w:type="paragraph" w:styleId="Footer">
    <w:name w:val="footer"/>
    <w:basedOn w:val="Normal"/>
    <w:link w:val="FooterChar"/>
    <w:uiPriority w:val="99"/>
    <w:unhideWhenUsed/>
    <w:rsid w:val="00122CC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CC5"/>
  </w:style>
  <w:style w:type="paragraph" w:customStyle="1" w:styleId="zHeaderLogo">
    <w:name w:val="zHeaderLogo"/>
    <w:basedOn w:val="Normal"/>
    <w:next w:val="Normal"/>
    <w:uiPriority w:val="99"/>
    <w:rsid w:val="00122CC5"/>
    <w:pPr>
      <w:autoSpaceDE w:val="0"/>
      <w:autoSpaceDN w:val="0"/>
      <w:adjustRightInd w:val="0"/>
      <w:spacing w:before="120" w:after="0" w:line="240" w:lineRule="auto"/>
      <w:ind w:left="720"/>
    </w:pPr>
    <w:rPr>
      <w:rFonts w:ascii="Times" w:eastAsia="Times New Roman" w:hAnsi="Times" w:cs="Times"/>
      <w:sz w:val="16"/>
      <w:szCs w:val="16"/>
    </w:rPr>
  </w:style>
  <w:style w:type="paragraph" w:customStyle="1" w:styleId="zHeaderAuthorTitle">
    <w:name w:val="zHeaderAuthorTitle"/>
    <w:basedOn w:val="Normal"/>
    <w:uiPriority w:val="99"/>
    <w:rsid w:val="00122CC5"/>
    <w:pPr>
      <w:autoSpaceDE w:val="0"/>
      <w:autoSpaceDN w:val="0"/>
      <w:adjustRightInd w:val="0"/>
      <w:spacing w:after="0" w:line="240" w:lineRule="auto"/>
      <w:ind w:left="720"/>
    </w:pPr>
    <w:rPr>
      <w:rFonts w:ascii="Times" w:eastAsia="Times New Roman" w:hAnsi="Times" w:cs="Times"/>
      <w:color w:val="000000"/>
      <w:spacing w:val="-1"/>
      <w:sz w:val="18"/>
      <w:szCs w:val="18"/>
    </w:rPr>
  </w:style>
  <w:style w:type="paragraph" w:customStyle="1" w:styleId="zHeaderAuthorName">
    <w:name w:val="zHeaderAuthorName"/>
    <w:basedOn w:val="Normal"/>
    <w:next w:val="zHeaderAuthorTitle"/>
    <w:uiPriority w:val="99"/>
    <w:rsid w:val="00122CC5"/>
    <w:pPr>
      <w:autoSpaceDE w:val="0"/>
      <w:autoSpaceDN w:val="0"/>
      <w:adjustRightInd w:val="0"/>
      <w:spacing w:before="240" w:after="29" w:line="240" w:lineRule="auto"/>
      <w:ind w:left="720"/>
    </w:pPr>
    <w:rPr>
      <w:rFonts w:ascii="Times" w:eastAsia="Times New Roman" w:hAnsi="Times" w:cs="Times"/>
      <w:b/>
      <w:bCs/>
      <w:color w:val="000000"/>
      <w:sz w:val="18"/>
      <w:szCs w:val="18"/>
    </w:rPr>
  </w:style>
  <w:style w:type="character" w:styleId="Hyperlink">
    <w:name w:val="Hyperlink"/>
    <w:basedOn w:val="DefaultParagraphFont"/>
    <w:uiPriority w:val="99"/>
    <w:rsid w:val="00122CC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735474">
      <w:bodyDiv w:val="1"/>
      <w:marLeft w:val="0"/>
      <w:marRight w:val="0"/>
      <w:marTop w:val="0"/>
      <w:marBottom w:val="0"/>
      <w:divBdr>
        <w:top w:val="none" w:sz="0" w:space="0" w:color="auto"/>
        <w:left w:val="none" w:sz="0" w:space="0" w:color="auto"/>
        <w:bottom w:val="none" w:sz="0" w:space="0" w:color="auto"/>
        <w:right w:val="none" w:sz="0" w:space="0" w:color="auto"/>
      </w:divBdr>
    </w:div>
    <w:div w:id="681516880">
      <w:bodyDiv w:val="1"/>
      <w:marLeft w:val="0"/>
      <w:marRight w:val="0"/>
      <w:marTop w:val="0"/>
      <w:marBottom w:val="0"/>
      <w:divBdr>
        <w:top w:val="none" w:sz="0" w:space="0" w:color="auto"/>
        <w:left w:val="none" w:sz="0" w:space="0" w:color="auto"/>
        <w:bottom w:val="none" w:sz="0" w:space="0" w:color="auto"/>
        <w:right w:val="none" w:sz="0" w:space="0" w:color="auto"/>
      </w:divBdr>
    </w:div>
    <w:div w:id="920455925">
      <w:bodyDiv w:val="1"/>
      <w:marLeft w:val="0"/>
      <w:marRight w:val="0"/>
      <w:marTop w:val="0"/>
      <w:marBottom w:val="0"/>
      <w:divBdr>
        <w:top w:val="none" w:sz="0" w:space="0" w:color="auto"/>
        <w:left w:val="none" w:sz="0" w:space="0" w:color="auto"/>
        <w:bottom w:val="none" w:sz="0" w:space="0" w:color="auto"/>
        <w:right w:val="none" w:sz="0" w:space="0" w:color="auto"/>
      </w:divBdr>
    </w:div>
    <w:div w:id="1222712849">
      <w:bodyDiv w:val="1"/>
      <w:marLeft w:val="0"/>
      <w:marRight w:val="0"/>
      <w:marTop w:val="0"/>
      <w:marBottom w:val="0"/>
      <w:divBdr>
        <w:top w:val="none" w:sz="0" w:space="0" w:color="auto"/>
        <w:left w:val="none" w:sz="0" w:space="0" w:color="auto"/>
        <w:bottom w:val="none" w:sz="0" w:space="0" w:color="auto"/>
        <w:right w:val="none" w:sz="0" w:space="0" w:color="auto"/>
      </w:divBdr>
    </w:div>
    <w:div w:id="1313635912">
      <w:bodyDiv w:val="1"/>
      <w:marLeft w:val="0"/>
      <w:marRight w:val="0"/>
      <w:marTop w:val="0"/>
      <w:marBottom w:val="0"/>
      <w:divBdr>
        <w:top w:val="none" w:sz="0" w:space="0" w:color="auto"/>
        <w:left w:val="none" w:sz="0" w:space="0" w:color="auto"/>
        <w:bottom w:val="none" w:sz="0" w:space="0" w:color="auto"/>
        <w:right w:val="none" w:sz="0" w:space="0" w:color="auto"/>
      </w:divBdr>
    </w:div>
    <w:div w:id="1785343037">
      <w:bodyDiv w:val="1"/>
      <w:marLeft w:val="0"/>
      <w:marRight w:val="0"/>
      <w:marTop w:val="0"/>
      <w:marBottom w:val="0"/>
      <w:divBdr>
        <w:top w:val="none" w:sz="0" w:space="0" w:color="auto"/>
        <w:left w:val="none" w:sz="0" w:space="0" w:color="auto"/>
        <w:bottom w:val="none" w:sz="0" w:space="0" w:color="auto"/>
        <w:right w:val="none" w:sz="0" w:space="0" w:color="auto"/>
      </w:divBdr>
    </w:div>
    <w:div w:id="2085687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736F64-180D-4400-AC1F-F0AB3E7D7B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1815</Words>
  <Characters>10347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Bullard</dc:creator>
  <cp:keywords/>
  <dc:description/>
  <cp:lastModifiedBy>Phillip Toth</cp:lastModifiedBy>
  <cp:revision>3</cp:revision>
  <cp:lastPrinted>2017-05-04T21:53:00Z</cp:lastPrinted>
  <dcterms:created xsi:type="dcterms:W3CDTF">2017-05-08T17:58:00Z</dcterms:created>
  <dcterms:modified xsi:type="dcterms:W3CDTF">2017-05-08T18:00:00Z</dcterms:modified>
</cp:coreProperties>
</file>